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D2195">
      <w:pPr>
        <w:jc w:val="center"/>
        <w:rPr>
          <w:rFonts w:hint="eastAsia" w:ascii="Times New Roman" w:hAnsi="Times New Roman" w:eastAsia="方正仿宋简体"/>
          <w:color w:val="000000"/>
          <w:sz w:val="44"/>
          <w:szCs w:val="44"/>
          <w:lang w:eastAsia="zh-CN"/>
        </w:rPr>
      </w:pPr>
      <w:r>
        <w:rPr>
          <w:rFonts w:hint="eastAsia" w:ascii="Times New Roman" w:hAnsi="Times New Roman" w:eastAsia="方正仿宋简体"/>
          <w:color w:val="000000"/>
          <w:sz w:val="44"/>
          <w:szCs w:val="44"/>
        </w:rPr>
        <w:t>202</w:t>
      </w:r>
      <w:r>
        <w:rPr>
          <w:rFonts w:ascii="Times New Roman" w:hAnsi="Times New Roman" w:eastAsia="方正仿宋简体"/>
          <w:color w:val="000000"/>
          <w:sz w:val="44"/>
          <w:szCs w:val="44"/>
        </w:rPr>
        <w:t>4</w:t>
      </w:r>
      <w:r>
        <w:rPr>
          <w:rFonts w:hint="eastAsia" w:ascii="Times New Roman" w:hAnsi="Times New Roman" w:eastAsia="方正仿宋简体"/>
          <w:color w:val="000000"/>
          <w:sz w:val="44"/>
          <w:szCs w:val="44"/>
        </w:rPr>
        <w:t>年度益阳市</w:t>
      </w:r>
      <w:r>
        <w:rPr>
          <w:rFonts w:hint="eastAsia" w:ascii="Times New Roman" w:hAnsi="Times New Roman" w:eastAsia="方正仿宋简体"/>
          <w:color w:val="000000"/>
          <w:sz w:val="44"/>
          <w:szCs w:val="44"/>
          <w:lang w:eastAsia="zh-CN"/>
        </w:rPr>
        <w:t>人民代表大会常务委员会</w:t>
      </w:r>
    </w:p>
    <w:p w14:paraId="11DBAB9B">
      <w:pPr>
        <w:jc w:val="center"/>
        <w:rPr>
          <w:rFonts w:ascii="Times New Roman" w:hAnsi="Times New Roman" w:eastAsia="方正仿宋简体"/>
          <w:color w:val="000000"/>
          <w:sz w:val="44"/>
          <w:szCs w:val="44"/>
        </w:rPr>
      </w:pPr>
      <w:r>
        <w:rPr>
          <w:rFonts w:hint="eastAsia" w:ascii="Times New Roman" w:hAnsi="Times New Roman" w:eastAsia="方正仿宋简体"/>
          <w:color w:val="000000"/>
          <w:sz w:val="44"/>
          <w:szCs w:val="44"/>
        </w:rPr>
        <w:t>整体支出绩效自评报告</w:t>
      </w:r>
    </w:p>
    <w:p w14:paraId="7F257C72">
      <w:pPr>
        <w:rPr>
          <w:rFonts w:ascii="仿宋" w:hAnsi="仿宋" w:eastAsia="仿宋"/>
          <w:sz w:val="36"/>
          <w:szCs w:val="36"/>
        </w:rPr>
      </w:pPr>
    </w:p>
    <w:p w14:paraId="4A0009B6">
      <w:pPr>
        <w:numPr>
          <w:ilvl w:val="0"/>
          <w:numId w:val="1"/>
        </w:numPr>
        <w:ind w:firstLine="632"/>
        <w:rPr>
          <w:rFonts w:ascii="黑体" w:hAnsi="黑体" w:eastAsia="黑体"/>
          <w:szCs w:val="32"/>
        </w:rPr>
      </w:pPr>
      <w:r>
        <w:rPr>
          <w:rFonts w:hint="eastAsia" w:ascii="黑体" w:hAnsi="黑体" w:eastAsia="黑体"/>
          <w:szCs w:val="32"/>
        </w:rPr>
        <w:t>部门（单位）基本情况</w:t>
      </w:r>
    </w:p>
    <w:p w14:paraId="70C1E2E5">
      <w:pPr>
        <w:ind w:firstLine="632" w:firstLineChars="200"/>
        <w:rPr>
          <w:rFonts w:ascii="Times New Roman" w:hAnsi="Times New Roman" w:eastAsia="方正仿宋简体"/>
          <w:color w:val="000000"/>
          <w:szCs w:val="32"/>
        </w:rPr>
      </w:pPr>
      <w:r>
        <w:rPr>
          <w:rFonts w:hint="eastAsia" w:ascii="Times New Roman" w:hAnsi="Times New Roman" w:eastAsia="方正仿宋简体"/>
          <w:color w:val="000000"/>
          <w:szCs w:val="32"/>
        </w:rPr>
        <w:t>（一）基本职能</w:t>
      </w:r>
    </w:p>
    <w:p w14:paraId="6D0B98D4">
      <w:pPr>
        <w:widowControl/>
        <w:shd w:val="clear" w:color="auto" w:fill="FCFCFC"/>
        <w:wordWrap w:val="0"/>
        <w:spacing w:line="560" w:lineRule="atLeast"/>
        <w:ind w:firstLine="632" w:firstLineChars="200"/>
        <w:jc w:val="left"/>
        <w:rPr>
          <w:rFonts w:hint="eastAsia" w:ascii="Times New Roman" w:hAnsi="Times New Roman" w:eastAsia="方正仿宋简体"/>
          <w:color w:val="000000"/>
          <w:szCs w:val="32"/>
        </w:rPr>
      </w:pPr>
      <w:r>
        <w:rPr>
          <w:rFonts w:ascii="Times New Roman" w:hAnsi="Times New Roman" w:eastAsia="方正仿宋简体"/>
          <w:color w:val="000000"/>
          <w:szCs w:val="32"/>
          <w:lang w:val="en-US" w:eastAsia="zh-CN"/>
        </w:rPr>
        <w:t>1、依照宪法和法律的规定，市人大常委会行使下列职权：保证宪法、法律、行政法规和上级人民代表大会及其常委会决议在益阳市的遵守和执行。</w:t>
      </w:r>
    </w:p>
    <w:p w14:paraId="374E49F4">
      <w:pPr>
        <w:widowControl/>
        <w:shd w:val="clear" w:color="auto" w:fill="FCFCFC"/>
        <w:wordWrap w:val="0"/>
        <w:spacing w:line="560" w:lineRule="atLeast"/>
        <w:ind w:firstLine="632" w:firstLineChars="200"/>
        <w:jc w:val="left"/>
        <w:rPr>
          <w:rFonts w:hint="eastAsia" w:ascii="Times New Roman" w:hAnsi="Times New Roman" w:eastAsia="方正仿宋简体"/>
          <w:color w:val="000000"/>
          <w:szCs w:val="32"/>
        </w:rPr>
      </w:pPr>
      <w:r>
        <w:rPr>
          <w:rFonts w:ascii="Times New Roman" w:hAnsi="Times New Roman" w:eastAsia="方正仿宋简体"/>
          <w:color w:val="000000"/>
          <w:szCs w:val="32"/>
          <w:lang w:val="en-US" w:eastAsia="zh-CN"/>
        </w:rPr>
        <w:t>2、主持市人民代表大会代表的选举；召集市人民代表大会会议。</w:t>
      </w:r>
    </w:p>
    <w:p w14:paraId="4B03DB62">
      <w:pPr>
        <w:widowControl/>
        <w:shd w:val="clear" w:color="auto" w:fill="FCFCFC"/>
        <w:wordWrap w:val="0"/>
        <w:spacing w:line="560" w:lineRule="atLeast"/>
        <w:ind w:firstLine="632" w:firstLineChars="200"/>
        <w:jc w:val="left"/>
        <w:rPr>
          <w:rFonts w:hint="eastAsia" w:ascii="Times New Roman" w:hAnsi="Times New Roman" w:eastAsia="方正仿宋简体"/>
          <w:color w:val="000000"/>
          <w:szCs w:val="32"/>
        </w:rPr>
      </w:pPr>
      <w:r>
        <w:rPr>
          <w:rFonts w:ascii="Times New Roman" w:hAnsi="Times New Roman" w:eastAsia="方正仿宋简体"/>
          <w:color w:val="000000"/>
          <w:szCs w:val="32"/>
          <w:lang w:val="en-US" w:eastAsia="zh-CN"/>
        </w:rPr>
        <w:t>3、讨论、决定益阳市的政治、经济、教育、科学、文化、卫生、环境和资源保护、民政、民族等工作的重大事项。</w:t>
      </w:r>
    </w:p>
    <w:p w14:paraId="21A778B7">
      <w:pPr>
        <w:widowControl/>
        <w:shd w:val="clear" w:color="auto" w:fill="FCFCFC"/>
        <w:wordWrap w:val="0"/>
        <w:spacing w:line="560" w:lineRule="atLeast"/>
        <w:ind w:firstLine="632" w:firstLineChars="200"/>
        <w:jc w:val="left"/>
        <w:rPr>
          <w:rFonts w:hint="eastAsia" w:ascii="Times New Roman" w:hAnsi="Times New Roman" w:eastAsia="方正仿宋简体"/>
          <w:color w:val="000000"/>
          <w:szCs w:val="32"/>
        </w:rPr>
      </w:pPr>
      <w:r>
        <w:rPr>
          <w:rFonts w:ascii="Times New Roman" w:hAnsi="Times New Roman" w:eastAsia="方正仿宋简体"/>
          <w:color w:val="000000"/>
          <w:szCs w:val="32"/>
          <w:lang w:val="en-US" w:eastAsia="zh-CN"/>
        </w:rPr>
        <w:t>4、根据市人民政府的建议，决定对益阳市国民经济和社会发展计划、预算的部分变更。</w:t>
      </w:r>
    </w:p>
    <w:p w14:paraId="5CF90EED">
      <w:pPr>
        <w:widowControl/>
        <w:shd w:val="clear" w:color="auto" w:fill="FCFCFC"/>
        <w:wordWrap w:val="0"/>
        <w:spacing w:line="560" w:lineRule="atLeast"/>
        <w:ind w:firstLine="632" w:firstLineChars="200"/>
        <w:jc w:val="left"/>
        <w:rPr>
          <w:rFonts w:hint="eastAsia" w:ascii="Times New Roman" w:hAnsi="Times New Roman" w:eastAsia="方正仿宋简体"/>
          <w:color w:val="000000"/>
          <w:szCs w:val="32"/>
        </w:rPr>
      </w:pPr>
      <w:r>
        <w:rPr>
          <w:rFonts w:ascii="Times New Roman" w:hAnsi="Times New Roman" w:eastAsia="方正仿宋简体"/>
          <w:color w:val="000000"/>
          <w:szCs w:val="32"/>
          <w:lang w:val="en-US" w:eastAsia="zh-CN"/>
        </w:rPr>
        <w:t>5、监督市人民政府、市中级人民法院和市人民检察院的工作，联系市人民代表大会代表，受理人民群众对上述机关和国家工作人员的申诉和意见。</w:t>
      </w:r>
    </w:p>
    <w:p w14:paraId="02AA173D">
      <w:pPr>
        <w:widowControl/>
        <w:shd w:val="clear" w:color="auto" w:fill="FCFCFC"/>
        <w:wordWrap w:val="0"/>
        <w:spacing w:line="560" w:lineRule="atLeast"/>
        <w:ind w:firstLine="632" w:firstLineChars="200"/>
        <w:jc w:val="left"/>
        <w:rPr>
          <w:rFonts w:hint="eastAsia" w:ascii="Times New Roman" w:hAnsi="Times New Roman" w:eastAsia="方正仿宋简体"/>
          <w:color w:val="000000"/>
          <w:szCs w:val="32"/>
        </w:rPr>
      </w:pPr>
      <w:r>
        <w:rPr>
          <w:rFonts w:ascii="Times New Roman" w:hAnsi="Times New Roman" w:eastAsia="方正仿宋简体"/>
          <w:color w:val="000000"/>
          <w:szCs w:val="32"/>
          <w:lang w:val="en-US" w:eastAsia="zh-CN"/>
        </w:rPr>
        <w:t>6、撤销下一级人民代表大会及其常委会的不适当的决议。</w:t>
      </w:r>
    </w:p>
    <w:p w14:paraId="30B6A3A2">
      <w:pPr>
        <w:widowControl/>
        <w:shd w:val="clear" w:color="auto" w:fill="FCFCFC"/>
        <w:wordWrap w:val="0"/>
        <w:spacing w:line="560" w:lineRule="atLeast"/>
        <w:ind w:firstLine="632" w:firstLineChars="200"/>
        <w:jc w:val="left"/>
        <w:rPr>
          <w:rFonts w:hint="eastAsia" w:ascii="Times New Roman" w:hAnsi="Times New Roman" w:eastAsia="方正仿宋简体"/>
          <w:color w:val="000000"/>
          <w:szCs w:val="32"/>
        </w:rPr>
      </w:pPr>
      <w:r>
        <w:rPr>
          <w:rFonts w:ascii="Times New Roman" w:hAnsi="Times New Roman" w:eastAsia="方正仿宋简体"/>
          <w:color w:val="000000"/>
          <w:szCs w:val="32"/>
          <w:lang w:val="en-US" w:eastAsia="zh-CN"/>
        </w:rPr>
        <w:t>7、撤销市人民政府的不适当的决定和命令。</w:t>
      </w:r>
    </w:p>
    <w:p w14:paraId="23CE6A05">
      <w:pPr>
        <w:widowControl/>
        <w:shd w:val="clear" w:color="auto" w:fill="FCFCFC"/>
        <w:wordWrap w:val="0"/>
        <w:spacing w:line="560" w:lineRule="atLeast"/>
        <w:ind w:firstLine="632" w:firstLineChars="200"/>
        <w:jc w:val="left"/>
        <w:rPr>
          <w:rFonts w:hint="eastAsia" w:ascii="微软雅黑" w:hAnsi="微软雅黑" w:eastAsia="微软雅黑" w:cs="微软雅黑"/>
          <w:i w:val="0"/>
          <w:iCs w:val="0"/>
          <w:caps w:val="0"/>
          <w:color w:val="000000"/>
          <w:spacing w:val="0"/>
          <w:sz w:val="27"/>
          <w:szCs w:val="27"/>
        </w:rPr>
      </w:pPr>
      <w:r>
        <w:rPr>
          <w:rFonts w:ascii="Times New Roman" w:hAnsi="Times New Roman" w:eastAsia="方正仿宋简体"/>
          <w:color w:val="000000"/>
          <w:szCs w:val="32"/>
          <w:lang w:val="en-US" w:eastAsia="zh-CN"/>
        </w:rPr>
        <w:t>8、在市人民代表大会闭会期间，决定副市长的个别任免</w:t>
      </w:r>
      <w:r>
        <w:rPr>
          <w:rFonts w:ascii="宋体" w:hAnsi="宋体" w:eastAsia="宋体" w:cs="宋体"/>
          <w:i w:val="0"/>
          <w:iCs w:val="0"/>
          <w:caps w:val="0"/>
          <w:color w:val="000000"/>
          <w:spacing w:val="0"/>
          <w:kern w:val="0"/>
          <w:sz w:val="32"/>
          <w:szCs w:val="32"/>
          <w:lang w:val="en-US" w:eastAsia="zh-CN" w:bidi="ar"/>
        </w:rPr>
        <w:t>。</w:t>
      </w:r>
    </w:p>
    <w:p w14:paraId="50425C92">
      <w:pPr>
        <w:widowControl/>
        <w:shd w:val="clear" w:color="auto" w:fill="FCFCFC"/>
        <w:wordWrap w:val="0"/>
        <w:spacing w:line="560" w:lineRule="atLeast"/>
        <w:ind w:firstLine="632" w:firstLineChars="200"/>
        <w:jc w:val="left"/>
        <w:rPr>
          <w:rFonts w:hint="eastAsia" w:ascii="Times New Roman" w:hAnsi="Times New Roman" w:eastAsia="方正仿宋简体"/>
          <w:color w:val="000000"/>
          <w:szCs w:val="32"/>
          <w:lang w:val="en-US" w:eastAsia="zh-CN"/>
        </w:rPr>
      </w:pPr>
      <w:r>
        <w:rPr>
          <w:rFonts w:ascii="Times New Roman" w:hAnsi="Times New Roman" w:eastAsia="方正仿宋简体"/>
          <w:color w:val="000000"/>
          <w:szCs w:val="32"/>
          <w:lang w:val="en-US" w:eastAsia="zh-CN"/>
        </w:rPr>
        <w:t>9、在市长和市中级人民法院院长、市人民检察院检察长因故不能担任职务的时候，从市人民政府、市中级人民法院、市人民检察院副职领导人员中决定代理的人选。</w:t>
      </w:r>
    </w:p>
    <w:p w14:paraId="08288786">
      <w:pPr>
        <w:widowControl/>
        <w:shd w:val="clear" w:color="auto" w:fill="FCFCFC"/>
        <w:wordWrap w:val="0"/>
        <w:spacing w:line="560" w:lineRule="atLeast"/>
        <w:ind w:firstLine="632" w:firstLineChars="200"/>
        <w:jc w:val="left"/>
        <w:rPr>
          <w:rFonts w:hint="eastAsia" w:ascii="Times New Roman" w:hAnsi="Times New Roman" w:eastAsia="方正仿宋简体"/>
          <w:color w:val="000000"/>
          <w:szCs w:val="32"/>
          <w:lang w:val="en-US" w:eastAsia="zh-CN"/>
        </w:rPr>
      </w:pPr>
      <w:r>
        <w:rPr>
          <w:rFonts w:ascii="Times New Roman" w:hAnsi="Times New Roman" w:eastAsia="方正仿宋简体"/>
          <w:color w:val="000000"/>
          <w:szCs w:val="32"/>
          <w:lang w:val="en-US" w:eastAsia="zh-CN"/>
        </w:rPr>
        <w:t>10、决定代理检察长，须报湖南省人民检察院和人大常委会备案。</w:t>
      </w:r>
    </w:p>
    <w:p w14:paraId="48CCDB40">
      <w:pPr>
        <w:widowControl/>
        <w:shd w:val="clear" w:color="auto" w:fill="FCFCFC"/>
        <w:wordWrap w:val="0"/>
        <w:spacing w:line="560" w:lineRule="atLeast"/>
        <w:ind w:firstLine="632" w:firstLineChars="200"/>
        <w:jc w:val="left"/>
        <w:rPr>
          <w:rFonts w:hint="eastAsia" w:ascii="Times New Roman" w:hAnsi="Times New Roman" w:eastAsia="方正仿宋简体"/>
          <w:color w:val="000000"/>
          <w:szCs w:val="32"/>
          <w:lang w:val="en-US" w:eastAsia="zh-CN"/>
        </w:rPr>
      </w:pPr>
      <w:r>
        <w:rPr>
          <w:rFonts w:ascii="Times New Roman" w:hAnsi="Times New Roman" w:eastAsia="方正仿宋简体"/>
          <w:color w:val="000000"/>
          <w:szCs w:val="32"/>
          <w:lang w:val="en-US" w:eastAsia="zh-CN"/>
        </w:rPr>
        <w:t>11、根据市长的提名，决定市人民政府秘书长、局长、委员会主任的任免，报湖南省人民政府备案。</w:t>
      </w:r>
    </w:p>
    <w:p w14:paraId="0B3B4F96">
      <w:pPr>
        <w:widowControl/>
        <w:shd w:val="clear" w:color="auto" w:fill="FCFCFC"/>
        <w:wordWrap w:val="0"/>
        <w:spacing w:line="560" w:lineRule="atLeast"/>
        <w:ind w:firstLine="632" w:firstLineChars="200"/>
        <w:jc w:val="left"/>
        <w:rPr>
          <w:rFonts w:hint="eastAsia" w:ascii="Times New Roman" w:hAnsi="Times New Roman" w:eastAsia="方正仿宋简体"/>
          <w:color w:val="000000"/>
          <w:szCs w:val="32"/>
          <w:lang w:val="en-US" w:eastAsia="zh-CN"/>
        </w:rPr>
      </w:pPr>
      <w:r>
        <w:rPr>
          <w:rFonts w:ascii="Times New Roman" w:hAnsi="Times New Roman" w:eastAsia="方正仿宋简体"/>
          <w:color w:val="000000"/>
          <w:szCs w:val="32"/>
          <w:lang w:val="en-US" w:eastAsia="zh-CN"/>
        </w:rPr>
        <w:t>12、按照监察法、人民法院组织法和人民检察院组织法的规定，任免监察委副主任、委员，任免人民法院副院长、庭长、副庭长、审判委员会委员、审判员，任免人民检察院副检察长、检察委员会委员、检察员，批准任免区（县市）人民检察院检察长。</w:t>
      </w:r>
    </w:p>
    <w:p w14:paraId="0BF7C0A6">
      <w:pPr>
        <w:widowControl/>
        <w:shd w:val="clear" w:color="auto" w:fill="FCFCFC"/>
        <w:wordWrap w:val="0"/>
        <w:spacing w:line="560" w:lineRule="atLeast"/>
        <w:ind w:firstLine="632" w:firstLineChars="200"/>
        <w:jc w:val="left"/>
        <w:rPr>
          <w:rFonts w:hint="eastAsia" w:ascii="Times New Roman" w:hAnsi="Times New Roman" w:eastAsia="方正仿宋简体"/>
          <w:color w:val="000000"/>
          <w:szCs w:val="32"/>
          <w:lang w:val="en-US" w:eastAsia="zh-CN"/>
        </w:rPr>
      </w:pPr>
      <w:r>
        <w:rPr>
          <w:rFonts w:ascii="Times New Roman" w:hAnsi="Times New Roman" w:eastAsia="方正仿宋简体"/>
          <w:color w:val="000000"/>
          <w:szCs w:val="32"/>
          <w:lang w:val="en-US" w:eastAsia="zh-CN"/>
        </w:rPr>
        <w:t>13、在市人民代表大会闭会期间，决定撤销个别副市长的职务；决定撤销由它任命的市人民政府其他组成人员和监察委副主任、委员，人民法院副院长、庭长、副庭长、审判委员会委员、审判员，人民检察院副检察长、检察委员会委员、检察员的职务。</w:t>
      </w:r>
    </w:p>
    <w:p w14:paraId="44753E86">
      <w:pPr>
        <w:widowControl/>
        <w:shd w:val="clear" w:color="auto" w:fill="FCFCFC"/>
        <w:wordWrap w:val="0"/>
        <w:spacing w:line="560" w:lineRule="atLeast"/>
        <w:ind w:firstLine="632" w:firstLineChars="200"/>
        <w:jc w:val="left"/>
        <w:rPr>
          <w:rFonts w:hint="eastAsia" w:ascii="Times New Roman" w:hAnsi="Times New Roman" w:eastAsia="方正仿宋简体"/>
          <w:color w:val="000000"/>
          <w:szCs w:val="32"/>
          <w:lang w:val="en-US" w:eastAsia="zh-CN"/>
        </w:rPr>
      </w:pPr>
      <w:r>
        <w:rPr>
          <w:rFonts w:ascii="Times New Roman" w:hAnsi="Times New Roman" w:eastAsia="方正仿宋简体"/>
          <w:color w:val="000000"/>
          <w:szCs w:val="32"/>
          <w:lang w:val="en-US" w:eastAsia="zh-CN"/>
        </w:rPr>
        <w:t>14、在市人民代表大会闭会期间，根据主任会议的提请，决定撤销市中级人民法院院长的职务，并由市中级人民法院报湖南省高级人民法院提请湖南省人大常委会批准。</w:t>
      </w:r>
    </w:p>
    <w:p w14:paraId="1F3A5FB7">
      <w:pPr>
        <w:widowControl/>
        <w:shd w:val="clear" w:color="auto" w:fill="FCFCFC"/>
        <w:wordWrap w:val="0"/>
        <w:spacing w:line="560" w:lineRule="atLeast"/>
        <w:ind w:firstLine="632" w:firstLineChars="200"/>
        <w:jc w:val="left"/>
        <w:rPr>
          <w:rFonts w:hint="eastAsia" w:ascii="Times New Roman" w:hAnsi="Times New Roman" w:eastAsia="方正仿宋简体"/>
          <w:color w:val="000000"/>
          <w:szCs w:val="32"/>
          <w:lang w:val="en-US" w:eastAsia="zh-CN"/>
        </w:rPr>
      </w:pPr>
      <w:r>
        <w:rPr>
          <w:rFonts w:ascii="Times New Roman" w:hAnsi="Times New Roman" w:eastAsia="方正仿宋简体"/>
          <w:color w:val="000000"/>
          <w:szCs w:val="32"/>
          <w:lang w:val="en-US" w:eastAsia="zh-CN"/>
        </w:rPr>
        <w:t>15、在市人民代表大会闭会期间，补选应由益阳市人民代表大会补选的湖南省人民代表大会出缺的代表和罢免个别代表；决定授予地方的荣誉称号。</w:t>
      </w:r>
    </w:p>
    <w:p w14:paraId="7E6D9CCD">
      <w:pPr>
        <w:ind w:firstLine="632" w:firstLineChars="200"/>
        <w:rPr>
          <w:rFonts w:hint="eastAsia" w:ascii="Times New Roman" w:hAnsi="Times New Roman" w:eastAsia="方正仿宋简体"/>
          <w:color w:val="000000"/>
          <w:szCs w:val="32"/>
        </w:rPr>
      </w:pPr>
    </w:p>
    <w:p w14:paraId="53FBC857">
      <w:pPr>
        <w:ind w:firstLine="632" w:firstLineChars="200"/>
        <w:rPr>
          <w:rFonts w:ascii="Times New Roman" w:hAnsi="Times New Roman" w:eastAsia="方正仿宋简体"/>
          <w:color w:val="000000"/>
          <w:szCs w:val="32"/>
        </w:rPr>
      </w:pPr>
      <w:r>
        <w:rPr>
          <w:rFonts w:hint="eastAsia" w:ascii="Times New Roman" w:hAnsi="Times New Roman" w:eastAsia="方正仿宋简体"/>
          <w:color w:val="000000"/>
          <w:szCs w:val="32"/>
        </w:rPr>
        <w:t>（二）机构情况</w:t>
      </w:r>
    </w:p>
    <w:p w14:paraId="5E3556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20" w:lineRule="atLeast"/>
        <w:ind w:left="0" w:right="0" w:firstLine="627"/>
        <w:jc w:val="both"/>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截至2024年12月31日，共有在职人员78人（其中工勤人员1</w:t>
      </w:r>
      <w:r>
        <w:rPr>
          <w:rFonts w:hint="default" w:ascii="Times New Roman" w:hAnsi="Times New Roman" w:eastAsia="方正仿宋简体" w:cs="Times New Roman"/>
          <w:color w:val="000000"/>
          <w:kern w:val="2"/>
          <w:sz w:val="32"/>
          <w:szCs w:val="32"/>
          <w:lang w:val="en-US" w:eastAsia="zh-CN" w:bidi="ar-SA"/>
        </w:rPr>
        <w:t>0</w:t>
      </w:r>
      <w:r>
        <w:rPr>
          <w:rFonts w:hint="eastAsia" w:ascii="Times New Roman" w:hAnsi="Times New Roman" w:eastAsia="方正仿宋简体" w:cs="Times New Roman"/>
          <w:color w:val="000000"/>
          <w:kern w:val="2"/>
          <w:sz w:val="32"/>
          <w:szCs w:val="32"/>
          <w:lang w:val="en-US" w:eastAsia="zh-CN" w:bidi="ar-SA"/>
        </w:rPr>
        <w:t>人，事业编制人员</w:t>
      </w:r>
      <w:r>
        <w:rPr>
          <w:rFonts w:hint="default" w:ascii="Times New Roman" w:hAnsi="Times New Roman" w:eastAsia="方正仿宋简体" w:cs="Times New Roman"/>
          <w:color w:val="000000"/>
          <w:kern w:val="2"/>
          <w:sz w:val="32"/>
          <w:szCs w:val="32"/>
          <w:lang w:val="en-US" w:eastAsia="zh-CN" w:bidi="ar-SA"/>
        </w:rPr>
        <w:t>4</w:t>
      </w:r>
      <w:r>
        <w:rPr>
          <w:rFonts w:hint="eastAsia" w:ascii="Times New Roman" w:hAnsi="Times New Roman" w:eastAsia="方正仿宋简体" w:cs="Times New Roman"/>
          <w:color w:val="000000"/>
          <w:kern w:val="2"/>
          <w:sz w:val="32"/>
          <w:szCs w:val="32"/>
          <w:lang w:val="en-US" w:eastAsia="zh-CN" w:bidi="ar-SA"/>
        </w:rPr>
        <w:t>人）；退休人员</w:t>
      </w:r>
      <w:r>
        <w:rPr>
          <w:rFonts w:hint="default" w:ascii="Times New Roman" w:hAnsi="Times New Roman" w:eastAsia="方正仿宋简体" w:cs="Times New Roman"/>
          <w:color w:val="000000"/>
          <w:kern w:val="2"/>
          <w:sz w:val="32"/>
          <w:szCs w:val="32"/>
          <w:lang w:val="en-US" w:eastAsia="zh-CN" w:bidi="ar-SA"/>
        </w:rPr>
        <w:t>8</w:t>
      </w:r>
      <w:r>
        <w:rPr>
          <w:rFonts w:hint="eastAsia" w:ascii="Times New Roman" w:hAnsi="Times New Roman" w:eastAsia="方正仿宋简体" w:cs="Times New Roman"/>
          <w:color w:val="000000"/>
          <w:kern w:val="2"/>
          <w:sz w:val="32"/>
          <w:szCs w:val="32"/>
          <w:lang w:val="en-US" w:eastAsia="zh-CN" w:bidi="ar-SA"/>
        </w:rPr>
        <w:t>8人。</w:t>
      </w:r>
    </w:p>
    <w:p w14:paraId="6516B428">
      <w:pPr>
        <w:widowControl/>
        <w:ind w:firstLine="632" w:firstLineChars="200"/>
        <w:rPr>
          <w:rFonts w:ascii="黑体" w:hAnsi="黑体" w:eastAsia="黑体"/>
          <w:szCs w:val="32"/>
        </w:rPr>
      </w:pPr>
      <w:r>
        <w:rPr>
          <w:rFonts w:hint="eastAsia" w:ascii="黑体" w:hAnsi="黑体" w:eastAsia="黑体"/>
          <w:szCs w:val="32"/>
        </w:rPr>
        <w:t>二、</w:t>
      </w:r>
      <w:r>
        <w:rPr>
          <w:rFonts w:ascii="黑体" w:hAnsi="黑体" w:eastAsia="黑体"/>
          <w:szCs w:val="32"/>
        </w:rPr>
        <w:t>一般公共预算支出情况</w:t>
      </w:r>
    </w:p>
    <w:p w14:paraId="60969718">
      <w:pPr>
        <w:widowControl/>
        <w:ind w:firstLine="632" w:firstLineChars="200"/>
        <w:rPr>
          <w:rFonts w:ascii="Times New Roman" w:hAnsi="Times New Roman" w:eastAsia="方正仿宋简体"/>
          <w:color w:val="000000"/>
          <w:szCs w:val="32"/>
        </w:rPr>
      </w:pPr>
      <w:r>
        <w:rPr>
          <w:rFonts w:hint="eastAsia" w:ascii="楷体_GB2312" w:hAnsi="仿宋" w:eastAsia="楷体_GB2312"/>
          <w:szCs w:val="32"/>
        </w:rPr>
        <w:t>（</w:t>
      </w:r>
      <w:r>
        <w:rPr>
          <w:rFonts w:hint="eastAsia" w:ascii="Times New Roman" w:hAnsi="Times New Roman" w:eastAsia="方正仿宋简体"/>
          <w:color w:val="000000"/>
          <w:szCs w:val="32"/>
        </w:rPr>
        <w:t>一）基本支出情况</w:t>
      </w:r>
    </w:p>
    <w:p w14:paraId="5FE5B1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20" w:lineRule="atLeast"/>
        <w:ind w:left="0" w:right="0" w:firstLine="627"/>
        <w:jc w:val="both"/>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我单位2024年一般公共预算财政拨款基本支出2951.31万元，其中基本支出为2430.34万元，项目支出为520.97万元。</w:t>
      </w:r>
    </w:p>
    <w:p w14:paraId="74A07017">
      <w:pPr>
        <w:widowControl/>
        <w:ind w:firstLine="632" w:firstLineChars="200"/>
        <w:rPr>
          <w:rFonts w:ascii="Times New Roman" w:hAnsi="Times New Roman" w:eastAsia="方正仿宋简体"/>
          <w:color w:val="000000"/>
          <w:szCs w:val="32"/>
        </w:rPr>
      </w:pPr>
      <w:r>
        <w:rPr>
          <w:rFonts w:hint="eastAsia" w:ascii="Times New Roman" w:hAnsi="Times New Roman" w:eastAsia="方正仿宋简体"/>
          <w:color w:val="000000"/>
          <w:szCs w:val="32"/>
        </w:rPr>
        <w:t>（二）</w:t>
      </w:r>
      <w:r>
        <w:rPr>
          <w:rFonts w:ascii="Times New Roman" w:hAnsi="Times New Roman" w:eastAsia="方正仿宋简体"/>
          <w:color w:val="000000"/>
          <w:szCs w:val="32"/>
        </w:rPr>
        <w:t>项目支出情况</w:t>
      </w:r>
    </w:p>
    <w:p w14:paraId="0DE34D6D">
      <w:pPr>
        <w:ind w:firstLine="632" w:firstLineChars="200"/>
        <w:rPr>
          <w:rFonts w:ascii="Times New Roman" w:hAnsi="Times New Roman" w:eastAsia="方正仿宋简体"/>
          <w:color w:val="000000"/>
          <w:szCs w:val="32"/>
        </w:rPr>
      </w:pPr>
      <w:r>
        <w:rPr>
          <w:rFonts w:hint="eastAsia" w:ascii="Times New Roman" w:hAnsi="Times New Roman" w:eastAsia="方正仿宋简体"/>
          <w:color w:val="000000"/>
          <w:szCs w:val="32"/>
          <w:lang w:eastAsia="zh-CN"/>
        </w:rPr>
        <w:t>我单位</w:t>
      </w:r>
      <w:r>
        <w:rPr>
          <w:rFonts w:hint="eastAsia" w:ascii="Times New Roman" w:hAnsi="Times New Roman" w:eastAsia="方正仿宋简体"/>
          <w:color w:val="000000"/>
          <w:szCs w:val="32"/>
        </w:rPr>
        <w:t>202</w:t>
      </w:r>
      <w:r>
        <w:rPr>
          <w:rFonts w:ascii="Times New Roman" w:hAnsi="Times New Roman" w:eastAsia="方正仿宋简体"/>
          <w:color w:val="000000"/>
          <w:szCs w:val="32"/>
        </w:rPr>
        <w:t>4</w:t>
      </w:r>
      <w:r>
        <w:rPr>
          <w:rFonts w:hint="eastAsia" w:ascii="Times New Roman" w:hAnsi="Times New Roman" w:eastAsia="方正仿宋简体"/>
          <w:color w:val="000000"/>
          <w:szCs w:val="32"/>
        </w:rPr>
        <w:t>年一般公共预算财政拨款项目经费收入</w:t>
      </w:r>
      <w:r>
        <w:rPr>
          <w:rFonts w:hint="eastAsia" w:ascii="Times New Roman" w:hAnsi="Times New Roman" w:eastAsia="方正仿宋简体"/>
          <w:color w:val="000000"/>
          <w:szCs w:val="32"/>
          <w:lang w:val="en-US" w:eastAsia="zh-CN"/>
        </w:rPr>
        <w:t>520.97</w:t>
      </w:r>
      <w:r>
        <w:rPr>
          <w:rFonts w:hint="eastAsia" w:ascii="Times New Roman" w:hAnsi="Times New Roman" w:eastAsia="方正仿宋简体"/>
          <w:color w:val="000000"/>
          <w:szCs w:val="32"/>
        </w:rPr>
        <w:t>万元，项目支出</w:t>
      </w:r>
      <w:r>
        <w:rPr>
          <w:rFonts w:hint="eastAsia" w:ascii="Times New Roman" w:hAnsi="Times New Roman" w:eastAsia="方正仿宋简体"/>
          <w:color w:val="000000"/>
          <w:szCs w:val="32"/>
          <w:lang w:val="en-US" w:eastAsia="zh-CN"/>
        </w:rPr>
        <w:t>520.97</w:t>
      </w:r>
      <w:r>
        <w:rPr>
          <w:rFonts w:hint="eastAsia" w:ascii="Times New Roman" w:hAnsi="Times New Roman" w:eastAsia="方正仿宋简体"/>
          <w:color w:val="000000"/>
          <w:szCs w:val="32"/>
        </w:rPr>
        <w:t>万元，主要为</w:t>
      </w:r>
      <w:r>
        <w:rPr>
          <w:rFonts w:hint="eastAsia" w:ascii="Times New Roman" w:hAnsi="Times New Roman" w:eastAsia="方正仿宋简体"/>
          <w:color w:val="000000"/>
          <w:szCs w:val="32"/>
          <w:lang w:eastAsia="zh-CN"/>
        </w:rPr>
        <w:t>人大代表工作经费、人大会议经费和立法专项经费</w:t>
      </w:r>
      <w:r>
        <w:rPr>
          <w:rFonts w:hint="eastAsia" w:ascii="Times New Roman" w:hAnsi="Times New Roman" w:eastAsia="方正仿宋简体"/>
          <w:color w:val="000000"/>
          <w:szCs w:val="32"/>
        </w:rPr>
        <w:t>。</w:t>
      </w:r>
    </w:p>
    <w:p w14:paraId="055DEC5B">
      <w:pPr>
        <w:widowControl/>
        <w:ind w:left="630"/>
        <w:jc w:val="left"/>
        <w:rPr>
          <w:rFonts w:ascii="黑体" w:hAnsi="黑体" w:eastAsia="黑体"/>
          <w:szCs w:val="32"/>
        </w:rPr>
      </w:pPr>
      <w:r>
        <w:rPr>
          <w:rFonts w:hint="eastAsia" w:ascii="黑体" w:hAnsi="黑体" w:eastAsia="黑体"/>
          <w:szCs w:val="32"/>
        </w:rPr>
        <w:t>三、</w:t>
      </w:r>
      <w:r>
        <w:rPr>
          <w:rFonts w:ascii="黑体" w:hAnsi="黑体" w:eastAsia="黑体"/>
          <w:szCs w:val="32"/>
        </w:rPr>
        <w:t>政府性基金预算支出情况</w:t>
      </w:r>
    </w:p>
    <w:p w14:paraId="350A50E1">
      <w:pPr>
        <w:pStyle w:val="6"/>
        <w:shd w:val="clear" w:color="auto" w:fill="FFFFFF"/>
        <w:ind w:firstLine="632" w:firstLineChars="200"/>
        <w:rPr>
          <w:rFonts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2024年度本单位无</w:t>
      </w:r>
      <w:r>
        <w:rPr>
          <w:rFonts w:hint="eastAsia" w:ascii="Times New Roman" w:hAnsi="Times New Roman" w:eastAsia="方正仿宋简体" w:cs="Times New Roman"/>
          <w:color w:val="000000"/>
          <w:sz w:val="32"/>
          <w:szCs w:val="32"/>
          <w:lang w:eastAsia="zh-CN"/>
        </w:rPr>
        <w:t>政府性基金预算</w:t>
      </w:r>
      <w:r>
        <w:rPr>
          <w:rFonts w:hint="eastAsia" w:ascii="Times New Roman" w:hAnsi="Times New Roman" w:eastAsia="方正仿宋简体" w:cs="Times New Roman"/>
          <w:color w:val="000000"/>
          <w:sz w:val="32"/>
          <w:szCs w:val="32"/>
        </w:rPr>
        <w:t>支出。</w:t>
      </w:r>
    </w:p>
    <w:p w14:paraId="54AC5126">
      <w:pPr>
        <w:widowControl/>
        <w:numPr>
          <w:ilvl w:val="0"/>
          <w:numId w:val="2"/>
        </w:numPr>
        <w:ind w:firstLine="632" w:firstLineChars="200"/>
        <w:jc w:val="left"/>
        <w:rPr>
          <w:rFonts w:ascii="黑体" w:hAnsi="黑体" w:eastAsia="黑体"/>
          <w:szCs w:val="32"/>
        </w:rPr>
      </w:pPr>
      <w:r>
        <w:rPr>
          <w:rFonts w:ascii="黑体" w:hAnsi="黑体" w:eastAsia="黑体"/>
          <w:szCs w:val="32"/>
        </w:rPr>
        <w:t>国有资本经营预算支出情况</w:t>
      </w:r>
    </w:p>
    <w:p w14:paraId="3355707C">
      <w:pPr>
        <w:pStyle w:val="6"/>
        <w:shd w:val="clear" w:color="auto" w:fill="FFFFFF"/>
        <w:ind w:firstLine="632" w:firstLineChars="200"/>
        <w:rPr>
          <w:rFonts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2024年度本单位无国有资本经营支出。</w:t>
      </w:r>
    </w:p>
    <w:p w14:paraId="07C98DEA">
      <w:pPr>
        <w:widowControl/>
        <w:numPr>
          <w:ilvl w:val="0"/>
          <w:numId w:val="2"/>
        </w:numPr>
        <w:ind w:firstLine="632" w:firstLineChars="200"/>
        <w:jc w:val="left"/>
        <w:rPr>
          <w:rFonts w:ascii="黑体" w:hAnsi="黑体" w:eastAsia="黑体"/>
          <w:szCs w:val="32"/>
        </w:rPr>
      </w:pPr>
      <w:r>
        <w:rPr>
          <w:rFonts w:ascii="黑体" w:hAnsi="黑体" w:eastAsia="黑体"/>
          <w:szCs w:val="32"/>
        </w:rPr>
        <w:t>社会保险基金预算支出情况</w:t>
      </w:r>
    </w:p>
    <w:p w14:paraId="43D8869B">
      <w:pPr>
        <w:widowControl/>
        <w:ind w:left="632" w:leftChars="200"/>
        <w:jc w:val="left"/>
        <w:rPr>
          <w:rFonts w:ascii="Times New Roman" w:hAnsi="Times New Roman" w:eastAsia="方正仿宋简体"/>
          <w:color w:val="000000"/>
          <w:szCs w:val="32"/>
        </w:rPr>
      </w:pPr>
      <w:r>
        <w:rPr>
          <w:rFonts w:hint="eastAsia" w:ascii="Times New Roman" w:hAnsi="Times New Roman" w:eastAsia="方正仿宋简体"/>
          <w:color w:val="000000"/>
          <w:szCs w:val="32"/>
        </w:rPr>
        <w:t>2024年度本单位无社会保险基金支出。</w:t>
      </w:r>
    </w:p>
    <w:p w14:paraId="20F90505">
      <w:pPr>
        <w:widowControl/>
        <w:ind w:firstLine="645"/>
        <w:jc w:val="left"/>
        <w:rPr>
          <w:rFonts w:ascii="黑体" w:hAnsi="黑体" w:eastAsia="黑体"/>
          <w:szCs w:val="32"/>
        </w:rPr>
      </w:pPr>
      <w:r>
        <w:rPr>
          <w:rFonts w:ascii="黑体" w:hAnsi="黑体" w:eastAsia="黑体"/>
          <w:szCs w:val="32"/>
        </w:rPr>
        <w:t>六、部门整体支出绩效情况</w:t>
      </w:r>
    </w:p>
    <w:p w14:paraId="26A5DBE7">
      <w:pPr>
        <w:pStyle w:val="6"/>
        <w:shd w:val="clear" w:color="auto" w:fill="FFFFFF"/>
        <w:ind w:firstLine="790" w:firstLineChars="250"/>
        <w:rPr>
          <w:rFonts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1.</w:t>
      </w:r>
      <w:r>
        <w:rPr>
          <w:rFonts w:ascii="Times New Roman" w:hAnsi="Times New Roman" w:eastAsia="方正仿宋简体" w:cs="Times New Roman"/>
          <w:color w:val="000000"/>
          <w:sz w:val="32"/>
          <w:szCs w:val="32"/>
        </w:rPr>
        <w:t>部门整体支出概况。</w:t>
      </w:r>
    </w:p>
    <w:p w14:paraId="7FB3882F">
      <w:pPr>
        <w:pStyle w:val="6"/>
        <w:shd w:val="clear" w:color="auto" w:fill="FFFFFF"/>
        <w:ind w:firstLine="790" w:firstLineChars="250"/>
        <w:rPr>
          <w:rFonts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截至202</w:t>
      </w:r>
      <w:r>
        <w:rPr>
          <w:rFonts w:hint="eastAsia" w:ascii="Times New Roman" w:hAnsi="Times New Roman" w:eastAsia="方正仿宋简体" w:cs="Times New Roman"/>
          <w:color w:val="000000"/>
          <w:sz w:val="32"/>
          <w:szCs w:val="32"/>
          <w:lang w:val="en-US" w:eastAsia="zh-CN"/>
        </w:rPr>
        <w:t>4</w:t>
      </w:r>
      <w:r>
        <w:rPr>
          <w:rFonts w:hint="eastAsia" w:ascii="Times New Roman" w:hAnsi="Times New Roman" w:eastAsia="方正仿宋简体" w:cs="Times New Roman"/>
          <w:color w:val="000000"/>
          <w:sz w:val="32"/>
          <w:szCs w:val="32"/>
        </w:rPr>
        <w:t>年12月31日，共有</w:t>
      </w:r>
      <w:r>
        <w:rPr>
          <w:rFonts w:hint="eastAsia" w:ascii="Times New Roman" w:hAnsi="Times New Roman" w:eastAsia="方正仿宋简体" w:cs="Times New Roman"/>
          <w:color w:val="000000"/>
          <w:sz w:val="32"/>
          <w:szCs w:val="32"/>
          <w:lang w:eastAsia="zh-CN"/>
        </w:rPr>
        <w:t>在编</w:t>
      </w:r>
      <w:r>
        <w:rPr>
          <w:rFonts w:hint="eastAsia" w:ascii="Times New Roman" w:hAnsi="Times New Roman" w:eastAsia="方正仿宋简体" w:cs="Times New Roman"/>
          <w:color w:val="000000"/>
          <w:sz w:val="32"/>
          <w:szCs w:val="32"/>
        </w:rPr>
        <w:t>人员</w:t>
      </w:r>
      <w:r>
        <w:rPr>
          <w:rFonts w:hint="eastAsia" w:ascii="Times New Roman" w:hAnsi="Times New Roman" w:eastAsia="方正仿宋简体" w:cs="Times New Roman"/>
          <w:color w:val="000000"/>
          <w:sz w:val="32"/>
          <w:szCs w:val="32"/>
          <w:lang w:val="en-US" w:eastAsia="zh-CN"/>
        </w:rPr>
        <w:t>78</w:t>
      </w:r>
      <w:r>
        <w:rPr>
          <w:rFonts w:hint="eastAsia" w:ascii="Times New Roman" w:hAnsi="Times New Roman" w:eastAsia="方正仿宋简体" w:cs="Times New Roman"/>
          <w:color w:val="000000"/>
          <w:sz w:val="32"/>
          <w:szCs w:val="32"/>
        </w:rPr>
        <w:t>人，当年收入2977.59万元，其中年初预算收入为2329.16万元、全年预算数2977.59万元，全年执行数2951.31万元。</w:t>
      </w:r>
    </w:p>
    <w:p w14:paraId="7DBE00D3">
      <w:pPr>
        <w:pStyle w:val="6"/>
        <w:shd w:val="clear" w:color="auto" w:fill="FFFFFF"/>
        <w:ind w:firstLine="790" w:firstLineChars="250"/>
        <w:rPr>
          <w:rFonts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2.</w:t>
      </w:r>
      <w:r>
        <w:rPr>
          <w:rFonts w:ascii="Times New Roman" w:hAnsi="Times New Roman" w:eastAsia="方正仿宋简体" w:cs="Times New Roman"/>
          <w:color w:val="000000"/>
          <w:sz w:val="32"/>
          <w:szCs w:val="32"/>
        </w:rPr>
        <w:t>部门整体支出绩效情况。</w:t>
      </w:r>
    </w:p>
    <w:p w14:paraId="4A2DB170">
      <w:pPr>
        <w:widowControl/>
        <w:shd w:val="clear" w:color="auto" w:fill="FCFCFC"/>
        <w:wordWrap w:val="0"/>
        <w:spacing w:line="560" w:lineRule="atLeast"/>
        <w:ind w:firstLine="632" w:firstLineChars="200"/>
        <w:jc w:val="left"/>
        <w:rPr>
          <w:rFonts w:ascii="Times New Roman" w:hAnsi="Times New Roman" w:eastAsia="方正仿宋简体"/>
          <w:color w:val="000000"/>
          <w:szCs w:val="32"/>
        </w:rPr>
      </w:pPr>
      <w:r>
        <w:rPr>
          <w:rFonts w:ascii="Times New Roman" w:hAnsi="Times New Roman" w:eastAsia="方正仿宋简体"/>
          <w:color w:val="000000"/>
          <w:szCs w:val="32"/>
        </w:rPr>
        <w:t>20</w:t>
      </w:r>
      <w:r>
        <w:rPr>
          <w:rFonts w:hint="eastAsia" w:ascii="Times New Roman" w:hAnsi="Times New Roman" w:eastAsia="方正仿宋简体"/>
          <w:color w:val="000000"/>
          <w:szCs w:val="32"/>
        </w:rPr>
        <w:t>24</w:t>
      </w:r>
      <w:r>
        <w:rPr>
          <w:rFonts w:ascii="Times New Roman" w:hAnsi="Times New Roman" w:eastAsia="方正仿宋简体"/>
          <w:color w:val="000000"/>
          <w:szCs w:val="32"/>
        </w:rPr>
        <w:t>年我</w:t>
      </w:r>
      <w:r>
        <w:rPr>
          <w:rFonts w:hint="eastAsia" w:ascii="Times New Roman" w:hAnsi="Times New Roman" w:eastAsia="方正仿宋简体"/>
          <w:color w:val="000000"/>
          <w:szCs w:val="32"/>
          <w:lang w:eastAsia="zh-CN"/>
        </w:rPr>
        <w:t>单位</w:t>
      </w:r>
      <w:r>
        <w:rPr>
          <w:rFonts w:ascii="Times New Roman" w:hAnsi="Times New Roman" w:eastAsia="方正仿宋简体"/>
          <w:color w:val="000000"/>
          <w:szCs w:val="32"/>
        </w:rPr>
        <w:t>整体支出</w:t>
      </w:r>
      <w:r>
        <w:rPr>
          <w:rFonts w:hint="eastAsia" w:ascii="Times New Roman" w:hAnsi="Times New Roman" w:eastAsia="方正仿宋简体"/>
          <w:color w:val="000000"/>
          <w:szCs w:val="32"/>
        </w:rPr>
        <w:t>2951.31</w:t>
      </w:r>
      <w:r>
        <w:rPr>
          <w:rFonts w:ascii="Times New Roman" w:hAnsi="Times New Roman" w:eastAsia="方正仿宋简体"/>
          <w:color w:val="000000"/>
          <w:szCs w:val="32"/>
        </w:rPr>
        <w:t>万元（其中，基本支出</w:t>
      </w:r>
      <w:r>
        <w:rPr>
          <w:rFonts w:hint="eastAsia" w:ascii="Times New Roman" w:hAnsi="Times New Roman" w:eastAsia="方正仿宋简体"/>
          <w:color w:val="000000"/>
          <w:szCs w:val="32"/>
          <w:lang w:val="en-US" w:eastAsia="zh-CN"/>
        </w:rPr>
        <w:t>2430.34</w:t>
      </w:r>
      <w:r>
        <w:rPr>
          <w:rFonts w:ascii="Times New Roman" w:hAnsi="Times New Roman" w:eastAsia="方正仿宋简体"/>
          <w:color w:val="000000"/>
          <w:szCs w:val="32"/>
        </w:rPr>
        <w:t>万元，项目支出</w:t>
      </w:r>
      <w:r>
        <w:rPr>
          <w:rFonts w:hint="eastAsia" w:ascii="Times New Roman" w:hAnsi="Times New Roman" w:eastAsia="方正仿宋简体"/>
          <w:color w:val="000000"/>
          <w:szCs w:val="32"/>
          <w:lang w:val="en-US" w:eastAsia="zh-CN"/>
        </w:rPr>
        <w:t>520.97</w:t>
      </w:r>
      <w:r>
        <w:rPr>
          <w:rFonts w:ascii="Times New Roman" w:hAnsi="Times New Roman" w:eastAsia="方正仿宋简体"/>
          <w:color w:val="000000"/>
          <w:szCs w:val="32"/>
        </w:rPr>
        <w:t>万元）。20</w:t>
      </w:r>
      <w:r>
        <w:rPr>
          <w:rFonts w:hint="eastAsia" w:ascii="Times New Roman" w:hAnsi="Times New Roman" w:eastAsia="方正仿宋简体"/>
          <w:color w:val="000000"/>
          <w:szCs w:val="32"/>
        </w:rPr>
        <w:t>24</w:t>
      </w:r>
      <w:r>
        <w:rPr>
          <w:rFonts w:ascii="Times New Roman" w:hAnsi="Times New Roman" w:eastAsia="方正仿宋简体"/>
          <w:color w:val="000000"/>
          <w:szCs w:val="32"/>
        </w:rPr>
        <w:t>年基本支出保障了单位人员工资福利支出、对个</w:t>
      </w:r>
      <w:r>
        <w:rPr>
          <w:rFonts w:hint="eastAsia" w:ascii="Times New Roman" w:hAnsi="Times New Roman" w:eastAsia="方正仿宋简体"/>
          <w:color w:val="000000"/>
          <w:szCs w:val="32"/>
          <w:lang w:eastAsia="zh-CN"/>
        </w:rPr>
        <w:t>人</w:t>
      </w:r>
      <w:r>
        <w:rPr>
          <w:rFonts w:ascii="Times New Roman" w:hAnsi="Times New Roman" w:eastAsia="方正仿宋简体"/>
          <w:color w:val="000000"/>
          <w:szCs w:val="32"/>
        </w:rPr>
        <w:t>和家庭的补助</w:t>
      </w:r>
      <w:r>
        <w:rPr>
          <w:rFonts w:hint="eastAsia" w:ascii="Times New Roman" w:hAnsi="Times New Roman" w:eastAsia="方正仿宋简体"/>
          <w:color w:val="000000"/>
          <w:szCs w:val="32"/>
        </w:rPr>
        <w:t>、</w:t>
      </w:r>
      <w:r>
        <w:rPr>
          <w:rFonts w:hint="eastAsia" w:ascii="Times New Roman" w:hAnsi="Times New Roman" w:eastAsia="方正仿宋简体"/>
          <w:color w:val="000000"/>
          <w:szCs w:val="32"/>
          <w:lang w:eastAsia="zh-CN"/>
        </w:rPr>
        <w:t>单位</w:t>
      </w:r>
      <w:r>
        <w:rPr>
          <w:rFonts w:ascii="Times New Roman" w:hAnsi="Times New Roman" w:eastAsia="方正仿宋简体"/>
          <w:color w:val="000000"/>
          <w:szCs w:val="32"/>
        </w:rPr>
        <w:t>正常运转和完成日常工作任务的需要。20</w:t>
      </w:r>
      <w:r>
        <w:rPr>
          <w:rFonts w:hint="eastAsia" w:ascii="Times New Roman" w:hAnsi="Times New Roman" w:eastAsia="方正仿宋简体"/>
          <w:color w:val="000000"/>
          <w:szCs w:val="32"/>
        </w:rPr>
        <w:t>24</w:t>
      </w:r>
      <w:r>
        <w:rPr>
          <w:rFonts w:ascii="Times New Roman" w:hAnsi="Times New Roman" w:eastAsia="方正仿宋简体"/>
          <w:color w:val="000000"/>
          <w:szCs w:val="32"/>
        </w:rPr>
        <w:t>年项目支出完成了各</w:t>
      </w:r>
      <w:r>
        <w:rPr>
          <w:rFonts w:hint="eastAsia" w:ascii="Times New Roman" w:hAnsi="Times New Roman" w:eastAsia="方正仿宋简体"/>
          <w:color w:val="000000"/>
          <w:szCs w:val="32"/>
        </w:rPr>
        <w:t>项目管理工作的需要</w:t>
      </w:r>
      <w:r>
        <w:rPr>
          <w:rFonts w:ascii="Times New Roman" w:hAnsi="Times New Roman" w:eastAsia="方正仿宋简体"/>
          <w:color w:val="000000"/>
          <w:szCs w:val="32"/>
        </w:rPr>
        <w:t>。</w:t>
      </w:r>
      <w:r>
        <w:rPr>
          <w:rFonts w:hint="eastAsia" w:ascii="Times New Roman" w:hAnsi="Times New Roman" w:eastAsia="方正仿宋简体"/>
          <w:color w:val="000000"/>
          <w:szCs w:val="32"/>
        </w:rPr>
        <w:t>在推动重大决策部署实施方面，</w:t>
      </w:r>
      <w:r>
        <w:rPr>
          <w:rFonts w:hint="eastAsia" w:ascii="Times New Roman" w:hAnsi="Times New Roman" w:eastAsia="方正仿宋简体"/>
          <w:color w:val="000000"/>
          <w:szCs w:val="32"/>
        </w:rPr>
        <w:tab/>
      </w:r>
      <w:r>
        <w:rPr>
          <w:rFonts w:hint="eastAsia" w:ascii="Times New Roman" w:hAnsi="Times New Roman" w:eastAsia="方正仿宋简体"/>
          <w:color w:val="000000"/>
          <w:szCs w:val="32"/>
        </w:rPr>
        <w:t>围绕重大战略、重大决策、重大事项深入开展调研和审议，形成高质量成果，并有效落实。立法工作成效显著，科学编制年度计划，完成多项重点立法，优化立法机制，充分发挥法制引领作用。监督工作全面加强，推动问题整改贺优化，取得明显成效。代表工作创新提升，完善联系群众机制，优化建议督办流程，代表履职服务更加高效。</w:t>
      </w:r>
      <w:r>
        <w:rPr>
          <w:rFonts w:hint="eastAsia" w:ascii="Times New Roman" w:hAnsi="Times New Roman" w:eastAsia="方正仿宋简体"/>
          <w:color w:val="000000"/>
          <w:szCs w:val="32"/>
          <w:lang w:val="en-US" w:eastAsia="zh-CN"/>
        </w:rPr>
        <w:t>2024年</w:t>
      </w:r>
      <w:r>
        <w:rPr>
          <w:rFonts w:hint="eastAsia" w:ascii="Times New Roman" w:hAnsi="Times New Roman" w:eastAsia="方正仿宋简体"/>
          <w:color w:val="000000"/>
          <w:szCs w:val="32"/>
        </w:rPr>
        <w:t>各项工作均高质量完成，基本达到预期目标。</w:t>
      </w:r>
    </w:p>
    <w:p w14:paraId="4487579F">
      <w:pPr>
        <w:widowControl/>
        <w:shd w:val="clear" w:color="auto" w:fill="FCFCFC"/>
        <w:wordWrap w:val="0"/>
        <w:spacing w:line="560" w:lineRule="atLeast"/>
        <w:ind w:firstLine="640"/>
        <w:jc w:val="left"/>
        <w:rPr>
          <w:rFonts w:ascii="Times New Roman" w:hAnsi="Times New Roman" w:eastAsia="方正仿宋简体"/>
          <w:color w:val="000000"/>
          <w:szCs w:val="32"/>
        </w:rPr>
      </w:pPr>
      <w:r>
        <w:rPr>
          <w:rFonts w:ascii="Times New Roman" w:hAnsi="Times New Roman" w:eastAsia="方正仿宋简体"/>
          <w:color w:val="000000"/>
          <w:szCs w:val="32"/>
        </w:rPr>
        <w:t>（1）“三公”经费预算执行情况</w:t>
      </w:r>
    </w:p>
    <w:p w14:paraId="3D2747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20" w:lineRule="atLeast"/>
        <w:ind w:left="0" w:right="0" w:firstLine="640"/>
        <w:jc w:val="both"/>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2024年度“三公”经费财政拨款支出决算为50.63万元。因公出国（境）费支出预算为5万元，支出决算为20.78万元；公务接待费支出预算为13万元，支出决算为2.76万元；公务用车购置费及运行维护费支出预算为52万元，支出决算为27.09万元；严格控制“三公经费”支出。</w:t>
      </w:r>
    </w:p>
    <w:p w14:paraId="43B3B1FB">
      <w:pPr>
        <w:pStyle w:val="6"/>
        <w:shd w:val="clear" w:color="auto" w:fill="FFFFFF"/>
        <w:ind w:firstLine="474" w:firstLineChars="15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rPr>
        <w:t>2）</w:t>
      </w:r>
      <w:r>
        <w:rPr>
          <w:rFonts w:ascii="Times New Roman" w:hAnsi="Times New Roman" w:eastAsia="方正仿宋简体" w:cs="Times New Roman"/>
          <w:color w:val="000000"/>
          <w:sz w:val="32"/>
          <w:szCs w:val="32"/>
        </w:rPr>
        <w:t>预算执行方面。本年预算配置控制较好，按照编办核定的单位财政供养人员编制数要求，实际在</w:t>
      </w:r>
      <w:r>
        <w:rPr>
          <w:rFonts w:hint="eastAsia" w:ascii="Times New Roman" w:hAnsi="Times New Roman" w:eastAsia="方正仿宋简体" w:cs="Times New Roman"/>
          <w:color w:val="000000"/>
          <w:sz w:val="32"/>
          <w:szCs w:val="32"/>
        </w:rPr>
        <w:t>编</w:t>
      </w:r>
      <w:r>
        <w:rPr>
          <w:rFonts w:ascii="Times New Roman" w:hAnsi="Times New Roman" w:eastAsia="方正仿宋简体" w:cs="Times New Roman"/>
          <w:color w:val="000000"/>
          <w:sz w:val="32"/>
          <w:szCs w:val="32"/>
        </w:rPr>
        <w:t>人员数控制在编制人数范围内；按照绩效目标设定的要求，项目执行过程中，在保证项目质量安全的前提下，单位合理控制成本，比预期支出有所减少；“三公经费”总额控制得当，</w:t>
      </w:r>
      <w:r>
        <w:rPr>
          <w:rFonts w:hint="eastAsia" w:ascii="Times New Roman" w:hAnsi="Times New Roman" w:eastAsia="方正仿宋简体" w:cs="Times New Roman"/>
          <w:color w:val="000000"/>
          <w:sz w:val="32"/>
          <w:szCs w:val="32"/>
        </w:rPr>
        <w:t>在预算支出范围内</w:t>
      </w:r>
      <w:r>
        <w:rPr>
          <w:rFonts w:ascii="Times New Roman" w:hAnsi="Times New Roman" w:eastAsia="方正仿宋简体" w:cs="Times New Roman"/>
          <w:color w:val="000000"/>
          <w:sz w:val="32"/>
          <w:szCs w:val="32"/>
        </w:rPr>
        <w:t>。</w:t>
      </w:r>
    </w:p>
    <w:p w14:paraId="622670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20" w:lineRule="atLeast"/>
        <w:ind w:left="0" w:right="0" w:firstLine="640"/>
        <w:jc w:val="both"/>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sz w:val="32"/>
          <w:szCs w:val="32"/>
        </w:rPr>
        <w:t>（3）</w:t>
      </w:r>
      <w:r>
        <w:rPr>
          <w:rFonts w:ascii="Times New Roman" w:hAnsi="Times New Roman" w:eastAsia="方正仿宋简体" w:cs="Times New Roman"/>
          <w:color w:val="000000"/>
          <w:sz w:val="32"/>
          <w:szCs w:val="32"/>
        </w:rPr>
        <w:t>预算管理方面。</w:t>
      </w:r>
      <w:r>
        <w:rPr>
          <w:rFonts w:hint="eastAsia" w:ascii="Times New Roman" w:hAnsi="Times New Roman" w:eastAsia="方正仿宋简体" w:cs="Times New Roman"/>
          <w:color w:val="000000"/>
          <w:kern w:val="2"/>
          <w:sz w:val="32"/>
          <w:szCs w:val="32"/>
          <w:lang w:val="en-US" w:eastAsia="zh-CN" w:bidi="ar-SA"/>
        </w:rPr>
        <w:t>进一步加强资产的管理，完善了固定资产档案，严格报批、销审等手续，做好资产管理台账，单位无资产流失现象。</w:t>
      </w:r>
    </w:p>
    <w:p w14:paraId="71B90D2C">
      <w:pPr>
        <w:widowControl/>
        <w:ind w:firstLine="632" w:firstLineChars="200"/>
        <w:rPr>
          <w:rFonts w:ascii="黑体" w:hAnsi="黑体" w:eastAsia="黑体"/>
          <w:szCs w:val="32"/>
        </w:rPr>
      </w:pPr>
      <w:r>
        <w:rPr>
          <w:rFonts w:hint="eastAsia" w:ascii="黑体" w:hAnsi="黑体" w:eastAsia="黑体"/>
          <w:szCs w:val="32"/>
        </w:rPr>
        <w:t>七、</w:t>
      </w:r>
      <w:r>
        <w:rPr>
          <w:rFonts w:ascii="黑体" w:hAnsi="黑体" w:eastAsia="黑体"/>
          <w:szCs w:val="32"/>
        </w:rPr>
        <w:t>存在的问题及原因分析</w:t>
      </w:r>
    </w:p>
    <w:p w14:paraId="348F35E8">
      <w:pPr>
        <w:widowControl/>
        <w:shd w:val="clear" w:color="auto" w:fill="FCFCFC"/>
        <w:wordWrap w:val="0"/>
        <w:spacing w:line="560" w:lineRule="atLeast"/>
        <w:ind w:firstLine="632" w:firstLineChars="200"/>
        <w:jc w:val="left"/>
        <w:rPr>
          <w:rFonts w:ascii="Times New Roman" w:hAnsi="Times New Roman" w:eastAsia="方正仿宋简体"/>
          <w:color w:val="000000"/>
          <w:szCs w:val="32"/>
        </w:rPr>
      </w:pPr>
      <w:r>
        <w:rPr>
          <w:rFonts w:ascii="Times New Roman" w:hAnsi="Times New Roman" w:eastAsia="方正仿宋简体"/>
          <w:color w:val="000000"/>
          <w:szCs w:val="32"/>
        </w:rPr>
        <w:t>缺乏健全的资产管理制度，购置固定资产时，没有严格的监管制度，存在着购置的盲目性和随意性。</w:t>
      </w:r>
    </w:p>
    <w:p w14:paraId="75D88B8F">
      <w:pPr>
        <w:widowControl/>
        <w:ind w:firstLine="632" w:firstLineChars="200"/>
        <w:rPr>
          <w:rFonts w:ascii="黑体" w:hAnsi="黑体" w:eastAsia="黑体"/>
          <w:szCs w:val="32"/>
        </w:rPr>
      </w:pPr>
      <w:r>
        <w:rPr>
          <w:rFonts w:hint="eastAsia" w:ascii="黑体" w:hAnsi="黑体" w:eastAsia="黑体"/>
          <w:szCs w:val="32"/>
        </w:rPr>
        <w:t>八、</w:t>
      </w:r>
      <w:r>
        <w:rPr>
          <w:rFonts w:ascii="黑体" w:hAnsi="黑体" w:eastAsia="黑体"/>
          <w:szCs w:val="32"/>
        </w:rPr>
        <w:t>下一步改进措施</w:t>
      </w:r>
    </w:p>
    <w:p w14:paraId="2C69EB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20" w:lineRule="atLeast"/>
        <w:ind w:left="0" w:right="0" w:firstLine="640"/>
        <w:jc w:val="both"/>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进一步加强资产的管理，完善了固定资产档案，严格报批、销审等手续，做好资产管理台账，单位无资产流失现象。</w:t>
      </w:r>
    </w:p>
    <w:p w14:paraId="15BE8435">
      <w:pPr>
        <w:widowControl/>
        <w:ind w:firstLine="632" w:firstLineChars="200"/>
        <w:rPr>
          <w:rFonts w:ascii="黑体" w:hAnsi="黑体" w:eastAsia="黑体"/>
          <w:szCs w:val="32"/>
        </w:rPr>
      </w:pPr>
      <w:r>
        <w:rPr>
          <w:rFonts w:ascii="黑体" w:hAnsi="黑体" w:eastAsia="黑体"/>
          <w:szCs w:val="32"/>
        </w:rPr>
        <w:t>九、部门整体支出绩效自评结果拟应用和公开情况</w:t>
      </w:r>
    </w:p>
    <w:p w14:paraId="25FAF5D8">
      <w:pPr>
        <w:widowControl/>
        <w:spacing w:line="600" w:lineRule="exact"/>
        <w:ind w:firstLine="632" w:firstLineChars="200"/>
        <w:jc w:val="left"/>
        <w:rPr>
          <w:rFonts w:ascii="Times New Roman" w:hAnsi="Times New Roman" w:eastAsia="方正仿宋简体"/>
          <w:color w:val="000000"/>
          <w:szCs w:val="32"/>
        </w:rPr>
      </w:pPr>
      <w:r>
        <w:rPr>
          <w:rFonts w:hint="eastAsia" w:ascii="Times New Roman" w:hAnsi="Times New Roman" w:eastAsia="方正仿宋简体"/>
          <w:color w:val="000000"/>
          <w:szCs w:val="32"/>
        </w:rPr>
        <w:t>2024年部门整体支出绩效自评结果优秀，拟通过</w:t>
      </w:r>
      <w:r>
        <w:rPr>
          <w:rFonts w:hint="eastAsia" w:ascii="Times New Roman" w:hAnsi="Times New Roman" w:eastAsia="方正仿宋简体"/>
          <w:color w:val="000000"/>
          <w:szCs w:val="32"/>
          <w:lang w:eastAsia="zh-CN"/>
        </w:rPr>
        <w:t>门户</w:t>
      </w:r>
      <w:r>
        <w:rPr>
          <w:rFonts w:hint="eastAsia" w:ascii="Times New Roman" w:hAnsi="Times New Roman" w:eastAsia="方正仿宋简体"/>
          <w:color w:val="000000"/>
          <w:szCs w:val="32"/>
        </w:rPr>
        <w:t>网站向社会公开，接受社会监督。</w:t>
      </w:r>
    </w:p>
    <w:p w14:paraId="76661570">
      <w:pPr>
        <w:widowControl/>
        <w:ind w:firstLine="632" w:firstLineChars="200"/>
        <w:rPr>
          <w:rFonts w:ascii="Times New Roman" w:hAnsi="Times New Roman" w:eastAsia="方正仿宋简体"/>
          <w:color w:val="000000"/>
          <w:szCs w:val="32"/>
        </w:rPr>
      </w:pPr>
      <w:r>
        <w:rPr>
          <w:rFonts w:hint="eastAsia" w:ascii="黑体" w:hAnsi="黑体" w:eastAsia="黑体"/>
          <w:szCs w:val="32"/>
        </w:rPr>
        <w:t>十、</w:t>
      </w:r>
      <w:r>
        <w:rPr>
          <w:rFonts w:ascii="黑体" w:hAnsi="黑体" w:eastAsia="黑体"/>
          <w:szCs w:val="32"/>
        </w:rPr>
        <w:t>其他需要说明的情况</w:t>
      </w:r>
    </w:p>
    <w:p w14:paraId="76762C64">
      <w:pPr>
        <w:widowControl/>
        <w:ind w:firstLine="1264" w:firstLineChars="400"/>
        <w:rPr>
          <w:rFonts w:ascii="Times New Roman" w:hAnsi="Times New Roman" w:eastAsia="方正仿宋简体"/>
          <w:color w:val="000000"/>
          <w:szCs w:val="32"/>
        </w:rPr>
      </w:pPr>
      <w:r>
        <w:rPr>
          <w:rFonts w:hint="eastAsia" w:ascii="Times New Roman" w:hAnsi="Times New Roman" w:eastAsia="方正仿宋简体"/>
          <w:color w:val="000000"/>
          <w:szCs w:val="32"/>
        </w:rPr>
        <w:t>无</w:t>
      </w:r>
    </w:p>
    <w:p w14:paraId="2DC10325">
      <w:pPr>
        <w:widowControl/>
        <w:spacing w:line="400" w:lineRule="exact"/>
        <w:jc w:val="left"/>
        <w:rPr>
          <w:rFonts w:ascii="Times New Roman" w:hAnsi="Times New Roman"/>
          <w:kern w:val="0"/>
          <w:sz w:val="22"/>
          <w:szCs w:val="24"/>
        </w:rPr>
      </w:pPr>
    </w:p>
    <w:p w14:paraId="12BCCBC2">
      <w:pPr>
        <w:widowControl/>
        <w:spacing w:line="400" w:lineRule="exact"/>
        <w:jc w:val="left"/>
        <w:rPr>
          <w:rFonts w:ascii="Times New Roman" w:hAnsi="Times New Roman"/>
          <w:kern w:val="0"/>
          <w:sz w:val="22"/>
          <w:szCs w:val="24"/>
        </w:rPr>
      </w:pPr>
    </w:p>
    <w:p w14:paraId="0A49FA7B">
      <w:pPr>
        <w:widowControl/>
        <w:spacing w:line="400" w:lineRule="exact"/>
        <w:jc w:val="left"/>
        <w:rPr>
          <w:rFonts w:ascii="Times New Roman" w:hAnsi="Times New Roman"/>
          <w:kern w:val="0"/>
          <w:sz w:val="22"/>
          <w:szCs w:val="24"/>
        </w:rPr>
      </w:pPr>
    </w:p>
    <w:p w14:paraId="1ACC63B2">
      <w:pPr>
        <w:widowControl/>
        <w:spacing w:line="400" w:lineRule="exact"/>
        <w:jc w:val="left"/>
        <w:rPr>
          <w:rFonts w:ascii="Times New Roman" w:hAnsi="Times New Roman"/>
          <w:kern w:val="0"/>
          <w:sz w:val="22"/>
          <w:szCs w:val="24"/>
        </w:rPr>
      </w:pPr>
    </w:p>
    <w:p w14:paraId="0928D828">
      <w:pPr>
        <w:widowControl/>
        <w:spacing w:line="400" w:lineRule="exact"/>
        <w:jc w:val="left"/>
        <w:rPr>
          <w:rFonts w:ascii="Times New Roman" w:hAnsi="Times New Roman"/>
          <w:kern w:val="0"/>
          <w:sz w:val="22"/>
          <w:szCs w:val="24"/>
        </w:rPr>
      </w:pPr>
    </w:p>
    <w:p w14:paraId="5374D23B">
      <w:pPr>
        <w:widowControl/>
        <w:spacing w:line="400" w:lineRule="exact"/>
        <w:jc w:val="left"/>
        <w:rPr>
          <w:rFonts w:ascii="Times New Roman" w:hAnsi="Times New Roman"/>
          <w:kern w:val="0"/>
          <w:sz w:val="22"/>
          <w:szCs w:val="24"/>
        </w:rPr>
      </w:pPr>
      <w:bookmarkStart w:id="0" w:name="_GoBack"/>
      <w:bookmarkEnd w:id="0"/>
    </w:p>
    <w:p w14:paraId="158508A5">
      <w:pPr>
        <w:widowControl/>
        <w:spacing w:line="300" w:lineRule="exact"/>
        <w:jc w:val="left"/>
        <w:rPr>
          <w:kern w:val="0"/>
          <w:sz w:val="22"/>
          <w:szCs w:val="24"/>
        </w:rPr>
      </w:pPr>
    </w:p>
    <w:sectPr>
      <w:footerReference r:id="rId3" w:type="default"/>
      <w:footerReference r:id="rId4" w:type="even"/>
      <w:pgSz w:w="11907" w:h="16840"/>
      <w:pgMar w:top="2041" w:right="1531" w:bottom="1871" w:left="1531" w:header="851" w:footer="1304" w:gutter="0"/>
      <w:cols w:space="720" w:num="1"/>
      <w:docGrid w:type="linesAndChars" w:linePitch="587"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4828D">
    <w:pPr>
      <w:pStyle w:val="4"/>
      <w:framePr w:wrap="around" w:vAnchor="text" w:hAnchor="margin" w:xAlign="outside" w:y="1"/>
      <w:ind w:right="335"/>
      <w:rPr>
        <w:rStyle w:val="9"/>
        <w:rFonts w:ascii="宋体" w:hAnsi="宋体" w:eastAsia="宋体"/>
        <w:sz w:val="28"/>
      </w:rPr>
    </w:pPr>
    <w:r>
      <w:rPr>
        <w:rStyle w:val="9"/>
        <w:rFonts w:hint="eastAsia" w:ascii="宋体" w:hAnsi="宋体" w:eastAsia="宋体"/>
        <w:sz w:val="28"/>
      </w:rPr>
      <w:t>—</w:t>
    </w:r>
    <w:r>
      <w:rPr>
        <w:rFonts w:ascii="宋体" w:hAnsi="宋体" w:eastAsia="宋体"/>
        <w:sz w:val="28"/>
      </w:rPr>
      <w:fldChar w:fldCharType="begin"/>
    </w:r>
    <w:r>
      <w:rPr>
        <w:rStyle w:val="9"/>
        <w:rFonts w:ascii="宋体" w:hAnsi="宋体" w:eastAsia="宋体"/>
        <w:sz w:val="28"/>
      </w:rPr>
      <w:instrText xml:space="preserve">PAGE  </w:instrText>
    </w:r>
    <w:r>
      <w:rPr>
        <w:rFonts w:ascii="宋体" w:hAnsi="宋体" w:eastAsia="宋体"/>
        <w:sz w:val="28"/>
      </w:rPr>
      <w:fldChar w:fldCharType="separate"/>
    </w:r>
    <w:r>
      <w:rPr>
        <w:rStyle w:val="9"/>
        <w:rFonts w:ascii="宋体" w:hAnsi="宋体" w:eastAsia="宋体"/>
        <w:sz w:val="28"/>
      </w:rPr>
      <w:t>5</w:t>
    </w:r>
    <w:r>
      <w:rPr>
        <w:rFonts w:ascii="宋体" w:hAnsi="宋体" w:eastAsia="宋体"/>
        <w:sz w:val="28"/>
      </w:rPr>
      <w:fldChar w:fldCharType="end"/>
    </w:r>
    <w:r>
      <w:rPr>
        <w:rStyle w:val="9"/>
        <w:rFonts w:hint="eastAsia" w:ascii="宋体" w:hAnsi="宋体" w:eastAsia="宋体"/>
        <w:sz w:val="28"/>
      </w:rPr>
      <w:t>—</w:t>
    </w:r>
  </w:p>
  <w:p w14:paraId="221F3A5F">
    <w:pPr>
      <w:pStyle w:val="4"/>
      <w:ind w:right="360" w:firstLine="360"/>
      <w:jc w:val="right"/>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3DB03">
    <w:pPr>
      <w:pStyle w:val="4"/>
      <w:framePr w:wrap="around" w:vAnchor="text" w:hAnchor="margin" w:xAlign="outside" w:y="1"/>
      <w:ind w:left="335"/>
      <w:rPr>
        <w:rStyle w:val="9"/>
        <w:rFonts w:ascii="宋体" w:hAnsi="宋体" w:eastAsia="宋体"/>
        <w:sz w:val="28"/>
      </w:rPr>
    </w:pPr>
    <w:r>
      <w:rPr>
        <w:rStyle w:val="9"/>
        <w:rFonts w:hint="eastAsia" w:ascii="宋体" w:hAnsi="宋体" w:eastAsia="宋体"/>
        <w:sz w:val="28"/>
      </w:rPr>
      <w:t>—</w:t>
    </w:r>
    <w:r>
      <w:rPr>
        <w:rFonts w:ascii="宋体" w:hAnsi="宋体" w:eastAsia="宋体"/>
        <w:sz w:val="28"/>
      </w:rPr>
      <w:fldChar w:fldCharType="begin"/>
    </w:r>
    <w:r>
      <w:rPr>
        <w:rStyle w:val="9"/>
        <w:rFonts w:ascii="宋体" w:hAnsi="宋体" w:eastAsia="宋体"/>
        <w:sz w:val="28"/>
      </w:rPr>
      <w:instrText xml:space="preserve">PAGE  </w:instrText>
    </w:r>
    <w:r>
      <w:rPr>
        <w:rFonts w:ascii="宋体" w:hAnsi="宋体" w:eastAsia="宋体"/>
        <w:sz w:val="28"/>
      </w:rPr>
      <w:fldChar w:fldCharType="separate"/>
    </w:r>
    <w:r>
      <w:rPr>
        <w:rStyle w:val="9"/>
        <w:rFonts w:ascii="宋体" w:hAnsi="宋体" w:eastAsia="宋体"/>
        <w:sz w:val="28"/>
      </w:rPr>
      <w:t>4</w:t>
    </w:r>
    <w:r>
      <w:rPr>
        <w:rFonts w:ascii="宋体" w:hAnsi="宋体" w:eastAsia="宋体"/>
        <w:sz w:val="28"/>
      </w:rPr>
      <w:fldChar w:fldCharType="end"/>
    </w:r>
    <w:r>
      <w:rPr>
        <w:rStyle w:val="9"/>
        <w:rFonts w:hint="eastAsia" w:ascii="宋体" w:hAnsi="宋体" w:eastAsia="宋体"/>
        <w:sz w:val="28"/>
      </w:rPr>
      <w:t>—</w:t>
    </w:r>
  </w:p>
  <w:p w14:paraId="5FD69DE4">
    <w:pPr>
      <w:pStyle w:val="4"/>
      <w:ind w:left="300" w:right="360" w:firstLine="360"/>
      <w:rPr>
        <w:sz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19AC2"/>
    <w:multiLevelType w:val="singleLevel"/>
    <w:tmpl w:val="AD519AC2"/>
    <w:lvl w:ilvl="0" w:tentative="0">
      <w:start w:val="1"/>
      <w:numFmt w:val="chineseCounting"/>
      <w:suff w:val="nothing"/>
      <w:lvlText w:val="%1、"/>
      <w:lvlJc w:val="left"/>
      <w:pPr>
        <w:ind w:left="-2"/>
      </w:pPr>
      <w:rPr>
        <w:rFonts w:hint="eastAsia"/>
      </w:rPr>
    </w:lvl>
  </w:abstractNum>
  <w:abstractNum w:abstractNumId="1">
    <w:nsid w:val="2440EF6B"/>
    <w:multiLevelType w:val="singleLevel"/>
    <w:tmpl w:val="2440EF6B"/>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5"/>
  <w:evenAndOddHeaders w:val="1"/>
  <w:drawingGridHorizontalSpacing w:val="158"/>
  <w:drawingGridVerticalSpacing w:val="587"/>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EA5"/>
    <w:rsid w:val="00002A74"/>
    <w:rsid w:val="00005CD9"/>
    <w:rsid w:val="00016127"/>
    <w:rsid w:val="000271EC"/>
    <w:rsid w:val="00033818"/>
    <w:rsid w:val="000436A7"/>
    <w:rsid w:val="00047133"/>
    <w:rsid w:val="000614D7"/>
    <w:rsid w:val="00061B34"/>
    <w:rsid w:val="00073888"/>
    <w:rsid w:val="000A3272"/>
    <w:rsid w:val="000D0079"/>
    <w:rsid w:val="000D4792"/>
    <w:rsid w:val="000E0D39"/>
    <w:rsid w:val="000E0F9B"/>
    <w:rsid w:val="000F0DDC"/>
    <w:rsid w:val="000F1EF7"/>
    <w:rsid w:val="000F1FBD"/>
    <w:rsid w:val="000F5E43"/>
    <w:rsid w:val="000F645B"/>
    <w:rsid w:val="00102AF6"/>
    <w:rsid w:val="001030FA"/>
    <w:rsid w:val="00105681"/>
    <w:rsid w:val="00107355"/>
    <w:rsid w:val="001117DB"/>
    <w:rsid w:val="00113CD3"/>
    <w:rsid w:val="001212D6"/>
    <w:rsid w:val="00134866"/>
    <w:rsid w:val="0013625A"/>
    <w:rsid w:val="00137367"/>
    <w:rsid w:val="0013742A"/>
    <w:rsid w:val="0014454B"/>
    <w:rsid w:val="00152B1D"/>
    <w:rsid w:val="00156C82"/>
    <w:rsid w:val="00167969"/>
    <w:rsid w:val="00175CB2"/>
    <w:rsid w:val="00183DFF"/>
    <w:rsid w:val="00185A5A"/>
    <w:rsid w:val="001A25BA"/>
    <w:rsid w:val="001A4F31"/>
    <w:rsid w:val="001A612D"/>
    <w:rsid w:val="001C11E7"/>
    <w:rsid w:val="001C2237"/>
    <w:rsid w:val="001C6104"/>
    <w:rsid w:val="001D2295"/>
    <w:rsid w:val="001D7B78"/>
    <w:rsid w:val="001D7D03"/>
    <w:rsid w:val="001E1C6A"/>
    <w:rsid w:val="001E3A50"/>
    <w:rsid w:val="002021EA"/>
    <w:rsid w:val="00203210"/>
    <w:rsid w:val="00204858"/>
    <w:rsid w:val="00220D4F"/>
    <w:rsid w:val="00221332"/>
    <w:rsid w:val="002407FB"/>
    <w:rsid w:val="002442C8"/>
    <w:rsid w:val="002541ED"/>
    <w:rsid w:val="00261E12"/>
    <w:rsid w:val="002775B2"/>
    <w:rsid w:val="00285B70"/>
    <w:rsid w:val="0029640F"/>
    <w:rsid w:val="002A54D6"/>
    <w:rsid w:val="002B3B93"/>
    <w:rsid w:val="002B61E9"/>
    <w:rsid w:val="002E67DC"/>
    <w:rsid w:val="002F1A6C"/>
    <w:rsid w:val="00301902"/>
    <w:rsid w:val="0030507A"/>
    <w:rsid w:val="00341D15"/>
    <w:rsid w:val="00342656"/>
    <w:rsid w:val="00351A19"/>
    <w:rsid w:val="00372D3C"/>
    <w:rsid w:val="00373A63"/>
    <w:rsid w:val="003820EF"/>
    <w:rsid w:val="00383A69"/>
    <w:rsid w:val="00384C50"/>
    <w:rsid w:val="003929A5"/>
    <w:rsid w:val="00393949"/>
    <w:rsid w:val="00394081"/>
    <w:rsid w:val="003B1550"/>
    <w:rsid w:val="003B455F"/>
    <w:rsid w:val="003B609C"/>
    <w:rsid w:val="003B7AA0"/>
    <w:rsid w:val="003C738B"/>
    <w:rsid w:val="003F15F1"/>
    <w:rsid w:val="003F39CD"/>
    <w:rsid w:val="003F7768"/>
    <w:rsid w:val="00400E56"/>
    <w:rsid w:val="00401748"/>
    <w:rsid w:val="004064FB"/>
    <w:rsid w:val="00407BD6"/>
    <w:rsid w:val="004162DB"/>
    <w:rsid w:val="004173AD"/>
    <w:rsid w:val="00424EC9"/>
    <w:rsid w:val="00447EB7"/>
    <w:rsid w:val="00452080"/>
    <w:rsid w:val="0045322B"/>
    <w:rsid w:val="00463CBD"/>
    <w:rsid w:val="0047779B"/>
    <w:rsid w:val="004A1199"/>
    <w:rsid w:val="004A5B55"/>
    <w:rsid w:val="004E1BB3"/>
    <w:rsid w:val="004F1188"/>
    <w:rsid w:val="004F3814"/>
    <w:rsid w:val="004F3BFA"/>
    <w:rsid w:val="0050663B"/>
    <w:rsid w:val="00506C37"/>
    <w:rsid w:val="00506CD2"/>
    <w:rsid w:val="005131E9"/>
    <w:rsid w:val="00513933"/>
    <w:rsid w:val="00532B60"/>
    <w:rsid w:val="005456D8"/>
    <w:rsid w:val="00551163"/>
    <w:rsid w:val="005566A8"/>
    <w:rsid w:val="00585B72"/>
    <w:rsid w:val="0058659B"/>
    <w:rsid w:val="00592287"/>
    <w:rsid w:val="00596EAF"/>
    <w:rsid w:val="005A3E99"/>
    <w:rsid w:val="005C1E91"/>
    <w:rsid w:val="005C641A"/>
    <w:rsid w:val="005D1F7C"/>
    <w:rsid w:val="005F2263"/>
    <w:rsid w:val="00611E18"/>
    <w:rsid w:val="006265CE"/>
    <w:rsid w:val="006468BC"/>
    <w:rsid w:val="00652329"/>
    <w:rsid w:val="0065262B"/>
    <w:rsid w:val="00652E0D"/>
    <w:rsid w:val="00663028"/>
    <w:rsid w:val="00663B26"/>
    <w:rsid w:val="0067583F"/>
    <w:rsid w:val="006827B0"/>
    <w:rsid w:val="00684F23"/>
    <w:rsid w:val="006869AB"/>
    <w:rsid w:val="006A61A6"/>
    <w:rsid w:val="006A6EB6"/>
    <w:rsid w:val="006B11BB"/>
    <w:rsid w:val="006D025B"/>
    <w:rsid w:val="006D323A"/>
    <w:rsid w:val="006E5A95"/>
    <w:rsid w:val="006F2D39"/>
    <w:rsid w:val="006F4C0F"/>
    <w:rsid w:val="0070055E"/>
    <w:rsid w:val="0070331B"/>
    <w:rsid w:val="007052EE"/>
    <w:rsid w:val="007347E8"/>
    <w:rsid w:val="0075314A"/>
    <w:rsid w:val="00767A70"/>
    <w:rsid w:val="00770B7B"/>
    <w:rsid w:val="00784C58"/>
    <w:rsid w:val="00785F36"/>
    <w:rsid w:val="0079082F"/>
    <w:rsid w:val="00791487"/>
    <w:rsid w:val="00792407"/>
    <w:rsid w:val="007A11BD"/>
    <w:rsid w:val="007B30D1"/>
    <w:rsid w:val="007C5283"/>
    <w:rsid w:val="007D044C"/>
    <w:rsid w:val="007E70B7"/>
    <w:rsid w:val="007E7BDB"/>
    <w:rsid w:val="007F231D"/>
    <w:rsid w:val="00810E64"/>
    <w:rsid w:val="008143ED"/>
    <w:rsid w:val="00814A57"/>
    <w:rsid w:val="00815F34"/>
    <w:rsid w:val="00834827"/>
    <w:rsid w:val="00835713"/>
    <w:rsid w:val="00841479"/>
    <w:rsid w:val="00842480"/>
    <w:rsid w:val="0084391A"/>
    <w:rsid w:val="008452A9"/>
    <w:rsid w:val="00872BCE"/>
    <w:rsid w:val="008738E6"/>
    <w:rsid w:val="00882267"/>
    <w:rsid w:val="00884A52"/>
    <w:rsid w:val="00891D4E"/>
    <w:rsid w:val="00892B57"/>
    <w:rsid w:val="008B079E"/>
    <w:rsid w:val="008B2297"/>
    <w:rsid w:val="008C4D61"/>
    <w:rsid w:val="008D4DFD"/>
    <w:rsid w:val="008D4E38"/>
    <w:rsid w:val="008F3BA2"/>
    <w:rsid w:val="009072A2"/>
    <w:rsid w:val="00915168"/>
    <w:rsid w:val="009156B6"/>
    <w:rsid w:val="009307B5"/>
    <w:rsid w:val="00940BFA"/>
    <w:rsid w:val="009578CA"/>
    <w:rsid w:val="00964D2C"/>
    <w:rsid w:val="00967F11"/>
    <w:rsid w:val="00994181"/>
    <w:rsid w:val="00997C0A"/>
    <w:rsid w:val="00997F62"/>
    <w:rsid w:val="009C2E24"/>
    <w:rsid w:val="009C6798"/>
    <w:rsid w:val="009C7223"/>
    <w:rsid w:val="009C78C2"/>
    <w:rsid w:val="009D21D0"/>
    <w:rsid w:val="009E40E3"/>
    <w:rsid w:val="009E7B2B"/>
    <w:rsid w:val="009F5C93"/>
    <w:rsid w:val="00A041E9"/>
    <w:rsid w:val="00A050D6"/>
    <w:rsid w:val="00A20757"/>
    <w:rsid w:val="00A402CE"/>
    <w:rsid w:val="00A43319"/>
    <w:rsid w:val="00A449C0"/>
    <w:rsid w:val="00A5141F"/>
    <w:rsid w:val="00A574C3"/>
    <w:rsid w:val="00A65659"/>
    <w:rsid w:val="00A7327E"/>
    <w:rsid w:val="00A85A74"/>
    <w:rsid w:val="00A92028"/>
    <w:rsid w:val="00A953D1"/>
    <w:rsid w:val="00AA73F5"/>
    <w:rsid w:val="00AB373E"/>
    <w:rsid w:val="00AB6099"/>
    <w:rsid w:val="00B00DE1"/>
    <w:rsid w:val="00B13DD4"/>
    <w:rsid w:val="00B1509E"/>
    <w:rsid w:val="00B1591B"/>
    <w:rsid w:val="00B24FF8"/>
    <w:rsid w:val="00B30086"/>
    <w:rsid w:val="00B33EE3"/>
    <w:rsid w:val="00B41F9C"/>
    <w:rsid w:val="00B70394"/>
    <w:rsid w:val="00B71FF9"/>
    <w:rsid w:val="00B77247"/>
    <w:rsid w:val="00B81B8F"/>
    <w:rsid w:val="00B87361"/>
    <w:rsid w:val="00BA1A64"/>
    <w:rsid w:val="00BA3264"/>
    <w:rsid w:val="00BA538A"/>
    <w:rsid w:val="00BB30E3"/>
    <w:rsid w:val="00BC74AE"/>
    <w:rsid w:val="00BD1B59"/>
    <w:rsid w:val="00BD47BE"/>
    <w:rsid w:val="00BF7471"/>
    <w:rsid w:val="00C413F7"/>
    <w:rsid w:val="00C528C8"/>
    <w:rsid w:val="00C53004"/>
    <w:rsid w:val="00C71DFD"/>
    <w:rsid w:val="00C77979"/>
    <w:rsid w:val="00C86CCC"/>
    <w:rsid w:val="00CA1328"/>
    <w:rsid w:val="00CA4411"/>
    <w:rsid w:val="00CA50B2"/>
    <w:rsid w:val="00CB1C87"/>
    <w:rsid w:val="00CB7EA3"/>
    <w:rsid w:val="00CC7A27"/>
    <w:rsid w:val="00CD4A8B"/>
    <w:rsid w:val="00CD62D0"/>
    <w:rsid w:val="00CD630F"/>
    <w:rsid w:val="00CE0246"/>
    <w:rsid w:val="00CF4021"/>
    <w:rsid w:val="00D00CE8"/>
    <w:rsid w:val="00D02E22"/>
    <w:rsid w:val="00D20768"/>
    <w:rsid w:val="00D2441F"/>
    <w:rsid w:val="00D34CA0"/>
    <w:rsid w:val="00D36D2C"/>
    <w:rsid w:val="00D4728C"/>
    <w:rsid w:val="00D535B3"/>
    <w:rsid w:val="00D54319"/>
    <w:rsid w:val="00D708B0"/>
    <w:rsid w:val="00D70A18"/>
    <w:rsid w:val="00D77134"/>
    <w:rsid w:val="00D80C85"/>
    <w:rsid w:val="00D80DC4"/>
    <w:rsid w:val="00D95153"/>
    <w:rsid w:val="00D973F5"/>
    <w:rsid w:val="00DA2069"/>
    <w:rsid w:val="00DB656B"/>
    <w:rsid w:val="00DB726D"/>
    <w:rsid w:val="00DC0F6D"/>
    <w:rsid w:val="00DD2D2E"/>
    <w:rsid w:val="00DE0361"/>
    <w:rsid w:val="00DE551A"/>
    <w:rsid w:val="00DE5C4A"/>
    <w:rsid w:val="00DE7AA6"/>
    <w:rsid w:val="00DF0DF3"/>
    <w:rsid w:val="00DF470E"/>
    <w:rsid w:val="00E13A1B"/>
    <w:rsid w:val="00E219E0"/>
    <w:rsid w:val="00E32CBA"/>
    <w:rsid w:val="00E4362B"/>
    <w:rsid w:val="00E44E53"/>
    <w:rsid w:val="00E60A47"/>
    <w:rsid w:val="00E627D0"/>
    <w:rsid w:val="00E67E03"/>
    <w:rsid w:val="00E7517B"/>
    <w:rsid w:val="00E75F2E"/>
    <w:rsid w:val="00EA5AA8"/>
    <w:rsid w:val="00EA7956"/>
    <w:rsid w:val="00EB1222"/>
    <w:rsid w:val="00EB3D0A"/>
    <w:rsid w:val="00EB5E95"/>
    <w:rsid w:val="00EC7E77"/>
    <w:rsid w:val="00ED7DFD"/>
    <w:rsid w:val="00EE3E28"/>
    <w:rsid w:val="00EE774D"/>
    <w:rsid w:val="00EF01ED"/>
    <w:rsid w:val="00EF4285"/>
    <w:rsid w:val="00EF50BD"/>
    <w:rsid w:val="00EF77F4"/>
    <w:rsid w:val="00F015E1"/>
    <w:rsid w:val="00F024AB"/>
    <w:rsid w:val="00F1432C"/>
    <w:rsid w:val="00F16BC3"/>
    <w:rsid w:val="00F233D7"/>
    <w:rsid w:val="00F3510B"/>
    <w:rsid w:val="00F40020"/>
    <w:rsid w:val="00F43B1F"/>
    <w:rsid w:val="00F44EA5"/>
    <w:rsid w:val="00F45D1C"/>
    <w:rsid w:val="00F56D8C"/>
    <w:rsid w:val="00F613AB"/>
    <w:rsid w:val="00F67FEE"/>
    <w:rsid w:val="00F807CD"/>
    <w:rsid w:val="00F8179E"/>
    <w:rsid w:val="00F86122"/>
    <w:rsid w:val="00F87B2F"/>
    <w:rsid w:val="00F94372"/>
    <w:rsid w:val="00FA1AF0"/>
    <w:rsid w:val="00FA6586"/>
    <w:rsid w:val="00FA6B7F"/>
    <w:rsid w:val="00FF10CD"/>
    <w:rsid w:val="00FF505B"/>
    <w:rsid w:val="02991B40"/>
    <w:rsid w:val="03822B2D"/>
    <w:rsid w:val="03F579ED"/>
    <w:rsid w:val="04CD5CFB"/>
    <w:rsid w:val="0525290C"/>
    <w:rsid w:val="05E70822"/>
    <w:rsid w:val="0603226F"/>
    <w:rsid w:val="06E465F0"/>
    <w:rsid w:val="07303348"/>
    <w:rsid w:val="085D5AE1"/>
    <w:rsid w:val="09272B27"/>
    <w:rsid w:val="0A0B10F1"/>
    <w:rsid w:val="0A1D6B75"/>
    <w:rsid w:val="0ABD0107"/>
    <w:rsid w:val="0C491A79"/>
    <w:rsid w:val="0CF90CAC"/>
    <w:rsid w:val="0D2252DC"/>
    <w:rsid w:val="0E223794"/>
    <w:rsid w:val="0EE16F7A"/>
    <w:rsid w:val="0F4C76C5"/>
    <w:rsid w:val="10B204DB"/>
    <w:rsid w:val="11A1349A"/>
    <w:rsid w:val="11A7501C"/>
    <w:rsid w:val="128D3528"/>
    <w:rsid w:val="12DA32EF"/>
    <w:rsid w:val="12F814A0"/>
    <w:rsid w:val="14A25A62"/>
    <w:rsid w:val="1555736B"/>
    <w:rsid w:val="15952692"/>
    <w:rsid w:val="15B742DC"/>
    <w:rsid w:val="16FD7908"/>
    <w:rsid w:val="171674A5"/>
    <w:rsid w:val="172250F8"/>
    <w:rsid w:val="174468C9"/>
    <w:rsid w:val="17AD415D"/>
    <w:rsid w:val="17B462C0"/>
    <w:rsid w:val="18D11348"/>
    <w:rsid w:val="1BD94FE5"/>
    <w:rsid w:val="1C4D53CD"/>
    <w:rsid w:val="1EF553F4"/>
    <w:rsid w:val="1F6241D8"/>
    <w:rsid w:val="20345D19"/>
    <w:rsid w:val="20FA66F6"/>
    <w:rsid w:val="216A37B2"/>
    <w:rsid w:val="21A74854"/>
    <w:rsid w:val="21EF33E2"/>
    <w:rsid w:val="22196141"/>
    <w:rsid w:val="22360981"/>
    <w:rsid w:val="23D65E2E"/>
    <w:rsid w:val="24536AB9"/>
    <w:rsid w:val="25AF3527"/>
    <w:rsid w:val="26AF3CBE"/>
    <w:rsid w:val="26DE5141"/>
    <w:rsid w:val="27822BF8"/>
    <w:rsid w:val="27F93D65"/>
    <w:rsid w:val="287B4584"/>
    <w:rsid w:val="29FE7D4C"/>
    <w:rsid w:val="2B135733"/>
    <w:rsid w:val="2D2E6BA3"/>
    <w:rsid w:val="2F9759D3"/>
    <w:rsid w:val="30C21F00"/>
    <w:rsid w:val="30E169F4"/>
    <w:rsid w:val="31F608B9"/>
    <w:rsid w:val="3324748B"/>
    <w:rsid w:val="335D55ED"/>
    <w:rsid w:val="339764AD"/>
    <w:rsid w:val="33EC573A"/>
    <w:rsid w:val="34BD1177"/>
    <w:rsid w:val="34E4145D"/>
    <w:rsid w:val="35837883"/>
    <w:rsid w:val="35A73997"/>
    <w:rsid w:val="3605164B"/>
    <w:rsid w:val="36424BC7"/>
    <w:rsid w:val="370C07C2"/>
    <w:rsid w:val="37282A33"/>
    <w:rsid w:val="376F6EAE"/>
    <w:rsid w:val="38A5783A"/>
    <w:rsid w:val="38E41132"/>
    <w:rsid w:val="39107218"/>
    <w:rsid w:val="392301E0"/>
    <w:rsid w:val="39911202"/>
    <w:rsid w:val="39E54025"/>
    <w:rsid w:val="3A2C6370"/>
    <w:rsid w:val="3A8E0BF6"/>
    <w:rsid w:val="3DB5073C"/>
    <w:rsid w:val="3E8667F4"/>
    <w:rsid w:val="3F2E2E7E"/>
    <w:rsid w:val="3F340E0E"/>
    <w:rsid w:val="3FB77A9B"/>
    <w:rsid w:val="40304BF3"/>
    <w:rsid w:val="403A28B2"/>
    <w:rsid w:val="41552E31"/>
    <w:rsid w:val="42585666"/>
    <w:rsid w:val="425D3215"/>
    <w:rsid w:val="42AC56CD"/>
    <w:rsid w:val="42EA279E"/>
    <w:rsid w:val="43E469A5"/>
    <w:rsid w:val="43F51285"/>
    <w:rsid w:val="440E5CC1"/>
    <w:rsid w:val="4486410D"/>
    <w:rsid w:val="456470F8"/>
    <w:rsid w:val="460F6816"/>
    <w:rsid w:val="46305783"/>
    <w:rsid w:val="464038DB"/>
    <w:rsid w:val="46D35A5D"/>
    <w:rsid w:val="47CA6934"/>
    <w:rsid w:val="48374D1C"/>
    <w:rsid w:val="4848143D"/>
    <w:rsid w:val="49F10639"/>
    <w:rsid w:val="4BEE5B13"/>
    <w:rsid w:val="4D2604A0"/>
    <w:rsid w:val="4DCE677A"/>
    <w:rsid w:val="4ECE6DC3"/>
    <w:rsid w:val="4EFC1FAA"/>
    <w:rsid w:val="4F865E52"/>
    <w:rsid w:val="4F901795"/>
    <w:rsid w:val="500C24FA"/>
    <w:rsid w:val="508C05C5"/>
    <w:rsid w:val="51207F04"/>
    <w:rsid w:val="51671414"/>
    <w:rsid w:val="5212717D"/>
    <w:rsid w:val="5218471B"/>
    <w:rsid w:val="530057B4"/>
    <w:rsid w:val="532D6659"/>
    <w:rsid w:val="53B413A5"/>
    <w:rsid w:val="56AB45DA"/>
    <w:rsid w:val="56FB54C7"/>
    <w:rsid w:val="57017173"/>
    <w:rsid w:val="5721676A"/>
    <w:rsid w:val="57257AC8"/>
    <w:rsid w:val="5818307A"/>
    <w:rsid w:val="586301E7"/>
    <w:rsid w:val="58CA1A57"/>
    <w:rsid w:val="58D0627E"/>
    <w:rsid w:val="59701D26"/>
    <w:rsid w:val="5A446F3E"/>
    <w:rsid w:val="5A78384D"/>
    <w:rsid w:val="5A863DA4"/>
    <w:rsid w:val="5A8E30F4"/>
    <w:rsid w:val="5AF76A9C"/>
    <w:rsid w:val="5B344458"/>
    <w:rsid w:val="5B813AC6"/>
    <w:rsid w:val="5B816D58"/>
    <w:rsid w:val="5E3B3A4F"/>
    <w:rsid w:val="5E8C52E5"/>
    <w:rsid w:val="60237F24"/>
    <w:rsid w:val="61A55AD0"/>
    <w:rsid w:val="61A6003A"/>
    <w:rsid w:val="62B10D29"/>
    <w:rsid w:val="6328712F"/>
    <w:rsid w:val="6414331E"/>
    <w:rsid w:val="64720968"/>
    <w:rsid w:val="65F90D4E"/>
    <w:rsid w:val="6662218C"/>
    <w:rsid w:val="666F7CC3"/>
    <w:rsid w:val="66F77C59"/>
    <w:rsid w:val="67747999"/>
    <w:rsid w:val="683A4E8F"/>
    <w:rsid w:val="6AF47C9C"/>
    <w:rsid w:val="6B4A6508"/>
    <w:rsid w:val="6C2A3C74"/>
    <w:rsid w:val="6DD42A72"/>
    <w:rsid w:val="6E986467"/>
    <w:rsid w:val="700F461E"/>
    <w:rsid w:val="70750610"/>
    <w:rsid w:val="712D2DE9"/>
    <w:rsid w:val="717F33A0"/>
    <w:rsid w:val="718D01A9"/>
    <w:rsid w:val="728F46B1"/>
    <w:rsid w:val="729A7761"/>
    <w:rsid w:val="72A82423"/>
    <w:rsid w:val="72DB1F12"/>
    <w:rsid w:val="738B5C07"/>
    <w:rsid w:val="73A80A10"/>
    <w:rsid w:val="747D2BA4"/>
    <w:rsid w:val="76BB4A15"/>
    <w:rsid w:val="775345C1"/>
    <w:rsid w:val="777313C3"/>
    <w:rsid w:val="777E5609"/>
    <w:rsid w:val="778B73A3"/>
    <w:rsid w:val="77990326"/>
    <w:rsid w:val="77F90F93"/>
    <w:rsid w:val="78106A27"/>
    <w:rsid w:val="782B556E"/>
    <w:rsid w:val="788743CA"/>
    <w:rsid w:val="788F32BA"/>
    <w:rsid w:val="78F90738"/>
    <w:rsid w:val="79B564ED"/>
    <w:rsid w:val="7AA61D7D"/>
    <w:rsid w:val="7CD10BA3"/>
    <w:rsid w:val="7D8731CA"/>
    <w:rsid w:val="7E5805CC"/>
    <w:rsid w:val="7FBC3022"/>
    <w:rsid w:val="7FC12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32" w:firstLineChars="200"/>
    </w:p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rFonts w:ascii="宋体" w:hAnsi="宋体" w:eastAsia="宋体" w:cs="宋体"/>
      <w:sz w:val="24"/>
      <w:szCs w:val="24"/>
    </w:r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customStyle="1" w:styleId="11">
    <w:name w:val="列出段落1"/>
    <w:basedOn w:val="1"/>
    <w:qFormat/>
    <w:uiPriority w:val="34"/>
    <w:pPr>
      <w:ind w:firstLine="420" w:firstLineChars="200"/>
    </w:pPr>
  </w:style>
  <w:style w:type="paragraph" w:styleId="12">
    <w:name w:val="List Paragraph"/>
    <w:basedOn w:val="1"/>
    <w:qFormat/>
    <w:uiPriority w:val="99"/>
    <w:pPr>
      <w:ind w:firstLine="420" w:firstLineChars="200"/>
    </w:pPr>
    <w:rPr>
      <w:szCs w:val="22"/>
    </w:rPr>
  </w:style>
  <w:style w:type="paragraph" w:customStyle="1" w:styleId="13">
    <w:name w:val="18"/>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peoplefilling"/>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19968;&#20010;&#21333;&#20301;&#25991;&#20214;&#65288;2016&#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一个单位文件（2016）.dot</Template>
  <Company>家用电脑</Company>
  <Pages>5</Pages>
  <Words>2032</Words>
  <Characters>2175</Characters>
  <Lines>15</Lines>
  <Paragraphs>4</Paragraphs>
  <TotalTime>2</TotalTime>
  <ScaleCrop>false</ScaleCrop>
  <LinksUpToDate>false</LinksUpToDate>
  <CharactersWithSpaces>2176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2025-04-17T04:07:00Z</dcterms:created>
  <dc:creator>xbany</dc:creator>
  <cp:lastModifiedBy>Cherry</cp:lastModifiedBy>
  <cp:lastPrinted>2021-03-11T07:36:00Z</cp:lastPrinted>
  <dcterms:modified xsi:type="dcterms:W3CDTF">2025-09-26T00:42:04Z</dcterms:modified>
  <dc:title>益财会〔2002〕4号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4C11CF265D2A4A55906A84EE8680E7AF</vt:lpwstr>
  </property>
  <property fmtid="{D5CDD505-2E9C-101B-9397-08002B2CF9AE}" pid="4" name="KSOTemplateDocerSaveRecord">
    <vt:lpwstr>eyJoZGlkIjoiMTE5NDhjYThmZjg1OGRiM2E3MDE0MGYzMjI1YTJhZWIiLCJ1c2VySWQiOiI0MzA5MzEwNjMifQ==</vt:lpwstr>
  </property>
</Properties>
</file>